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DD" w:rsidRPr="000F3FAB" w:rsidRDefault="000D480A" w:rsidP="0090209E">
      <w:pPr>
        <w:jc w:val="center"/>
        <w:rPr>
          <w:b/>
          <w:sz w:val="28"/>
          <w:szCs w:val="28"/>
          <w:u w:val="single"/>
        </w:rPr>
      </w:pPr>
      <w:r w:rsidRPr="000F3FAB">
        <w:rPr>
          <w:color w:val="FF0000"/>
          <w:sz w:val="28"/>
          <w:szCs w:val="28"/>
        </w:rPr>
        <w:t>ANSWERS:</w:t>
      </w:r>
      <w:r w:rsidRPr="000F3FAB">
        <w:rPr>
          <w:sz w:val="28"/>
          <w:szCs w:val="28"/>
        </w:rPr>
        <w:t xml:space="preserve"> </w:t>
      </w:r>
      <w:r w:rsidR="000B6639">
        <w:rPr>
          <w:rStyle w:val="Strong"/>
          <w:b w:val="0"/>
          <w:sz w:val="28"/>
          <w:szCs w:val="28"/>
        </w:rPr>
        <w:t>Additional</w:t>
      </w:r>
      <w:r w:rsidRPr="000F3FAB">
        <w:rPr>
          <w:rStyle w:val="Strong"/>
          <w:b w:val="0"/>
          <w:sz w:val="28"/>
          <w:szCs w:val="28"/>
        </w:rPr>
        <w:t xml:space="preserve"> questions on</w:t>
      </w:r>
      <w:r w:rsidRPr="000F3FAB">
        <w:rPr>
          <w:b/>
          <w:sz w:val="28"/>
          <w:szCs w:val="28"/>
        </w:rPr>
        <w:t xml:space="preserve"> </w:t>
      </w:r>
      <w:r w:rsidR="000F3FAB" w:rsidRPr="000F3FAB">
        <w:rPr>
          <w:b/>
          <w:sz w:val="28"/>
          <w:szCs w:val="28"/>
          <w:u w:val="single"/>
        </w:rPr>
        <w:t>Amino acids, dipeptides, tripeptides and proteins</w:t>
      </w:r>
    </w:p>
    <w:p w:rsidR="000D480A" w:rsidRDefault="000D480A">
      <w:pPr>
        <w:rPr>
          <w:b/>
          <w:sz w:val="32"/>
          <w:szCs w:val="32"/>
          <w:u w:val="single"/>
        </w:rPr>
      </w:pPr>
    </w:p>
    <w:p w:rsidR="00483457" w:rsidRDefault="000B6639" w:rsidP="00483457">
      <w:pPr>
        <w:pStyle w:val="Default"/>
      </w:pPr>
      <w:r>
        <w:rPr>
          <w:b/>
        </w:rPr>
        <w:t>1.</w:t>
      </w:r>
      <w:r w:rsidR="00483457">
        <w:t xml:space="preserve"> </w:t>
      </w:r>
      <w:r w:rsidR="00483457" w:rsidRPr="00375F00">
        <w:t xml:space="preserve">The dipeptide </w:t>
      </w:r>
      <w:proofErr w:type="spellStart"/>
      <w:r w:rsidR="00483457" w:rsidRPr="00375F00">
        <w:t>glyclyalanine</w:t>
      </w:r>
      <w:proofErr w:type="spellEnd"/>
      <w:r w:rsidR="00483457" w:rsidRPr="00375F00">
        <w:t xml:space="preserve"> is made up of two different amino acids, we know this because of the letters “di” in dipeptide.  The names of the two amino acids are </w:t>
      </w:r>
      <w:r w:rsidR="00483457">
        <w:t xml:space="preserve">glycine and alanine.  </w:t>
      </w:r>
    </w:p>
    <w:p w:rsidR="00483457" w:rsidRDefault="00483457" w:rsidP="00483457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260"/>
      </w:tblGrid>
      <w:tr w:rsidR="00483457" w:rsidTr="00483457">
        <w:trPr>
          <w:jc w:val="center"/>
        </w:trPr>
        <w:tc>
          <w:tcPr>
            <w:tcW w:w="3369" w:type="dxa"/>
          </w:tcPr>
          <w:p w:rsidR="00483457" w:rsidRDefault="00483457" w:rsidP="00483457">
            <w:pPr>
              <w:pStyle w:val="Default"/>
            </w:pPr>
            <w:r>
              <w:t>The structure for glycine is</w:t>
            </w:r>
          </w:p>
          <w:p w:rsidR="00483457" w:rsidRDefault="00483457" w:rsidP="00483457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96995" cy="1083190"/>
                  <wp:effectExtent l="0" t="0" r="0" b="0"/>
                  <wp:docPr id="19" name="irc_mi" descr="http://upload.wikimedia.org/wikipedia/commons/6/6b/Glyci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6/6b/Glyci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34" cy="108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83457" w:rsidRDefault="00483457" w:rsidP="00483457">
            <w:pPr>
              <w:pStyle w:val="Default"/>
              <w:rPr>
                <w:rStyle w:val="st"/>
              </w:rPr>
            </w:pPr>
            <w:r>
              <w:rPr>
                <w:rStyle w:val="st"/>
              </w:rPr>
              <w:t>and the structure for alanine is</w:t>
            </w:r>
          </w:p>
          <w:p w:rsidR="00483457" w:rsidRDefault="00483457" w:rsidP="00483457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22286" cy="1122647"/>
                  <wp:effectExtent l="19050" t="0" r="0" b="0"/>
                  <wp:docPr id="20" name="irc_mi" descr="http://upload.wikimedia.org/wikipedia/commons/6/62/Alan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6/62/Alan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35" cy="1122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457" w:rsidRDefault="00483457" w:rsidP="00483457">
      <w:pPr>
        <w:pStyle w:val="Default"/>
      </w:pPr>
    </w:p>
    <w:p w:rsidR="00483457" w:rsidRDefault="00483457" w:rsidP="00483457">
      <w:pPr>
        <w:pStyle w:val="Default"/>
        <w:rPr>
          <w:rStyle w:val="st"/>
        </w:rPr>
      </w:pPr>
      <w:r>
        <w:rPr>
          <w:rStyle w:val="st"/>
        </w:rPr>
        <w:t>The -</w:t>
      </w:r>
      <w:proofErr w:type="spellStart"/>
      <w:r>
        <w:rPr>
          <w:rStyle w:val="st"/>
        </w:rPr>
        <w:t>ine</w:t>
      </w:r>
      <w:proofErr w:type="spellEnd"/>
      <w:r>
        <w:rPr>
          <w:rStyle w:val="st"/>
        </w:rPr>
        <w:t xml:space="preserve"> ending of the glycine is changed to -</w:t>
      </w:r>
      <w:proofErr w:type="spellStart"/>
      <w:r>
        <w:rPr>
          <w:rStyle w:val="st"/>
        </w:rPr>
        <w:t>yl</w:t>
      </w:r>
      <w:proofErr w:type="spellEnd"/>
      <w:r>
        <w:rPr>
          <w:rStyle w:val="st"/>
        </w:rPr>
        <w:t xml:space="preserve"> because glycine it's -OH is lost in the condensation/dehydration reaction forming the dipeptide. </w:t>
      </w:r>
    </w:p>
    <w:p w:rsidR="00483457" w:rsidRDefault="00483457" w:rsidP="00483457">
      <w:pPr>
        <w:pStyle w:val="Default"/>
        <w:rPr>
          <w:rStyle w:val="st"/>
        </w:rPr>
      </w:pPr>
    </w:p>
    <w:p w:rsidR="00483457" w:rsidRDefault="00483457" w:rsidP="00483457">
      <w:pPr>
        <w:pStyle w:val="Default"/>
        <w:rPr>
          <w:rStyle w:val="st"/>
        </w:rPr>
      </w:pPr>
      <w:r>
        <w:rPr>
          <w:rStyle w:val="st"/>
        </w:rPr>
        <w:t>The bond between the two amino acids is known as a peptide bond.  This is a condensation reaction because a large molecule is formed with the loss of a small molecule (H</w:t>
      </w:r>
      <w:r w:rsidRPr="00375F00">
        <w:rPr>
          <w:rStyle w:val="st"/>
          <w:vertAlign w:val="subscript"/>
        </w:rPr>
        <w:t>2</w:t>
      </w:r>
      <w:r>
        <w:rPr>
          <w:rStyle w:val="st"/>
        </w:rPr>
        <w:t xml:space="preserve">O).  A </w:t>
      </w:r>
      <w:proofErr w:type="spellStart"/>
      <w:r>
        <w:rPr>
          <w:rStyle w:val="st"/>
        </w:rPr>
        <w:t>hydroxy</w:t>
      </w:r>
      <w:proofErr w:type="spellEnd"/>
      <w:r>
        <w:rPr>
          <w:rStyle w:val="st"/>
        </w:rPr>
        <w:t xml:space="preserve"> (-OH) group is lost from the carboxyl group of the glycine and a hydrogen atom (-H) is lost from the amino (-NH</w:t>
      </w:r>
      <w:r w:rsidRPr="00B36BAB">
        <w:rPr>
          <w:rStyle w:val="st"/>
          <w:vertAlign w:val="subscript"/>
        </w:rPr>
        <w:t>2</w:t>
      </w:r>
      <w:r>
        <w:rPr>
          <w:rStyle w:val="st"/>
        </w:rPr>
        <w:t xml:space="preserve">) group of the alanine.  </w:t>
      </w:r>
      <w:proofErr w:type="spellStart"/>
      <w:r>
        <w:rPr>
          <w:rStyle w:val="st"/>
        </w:rPr>
        <w:t>Glycylalaine</w:t>
      </w:r>
      <w:proofErr w:type="spellEnd"/>
      <w:r>
        <w:rPr>
          <w:rStyle w:val="st"/>
        </w:rPr>
        <w:t xml:space="preserve"> is not the only dipeptide that can form between these two amino acids, they can combine in the reverse order to form </w:t>
      </w:r>
      <w:proofErr w:type="spellStart"/>
      <w:r>
        <w:rPr>
          <w:rStyle w:val="st"/>
        </w:rPr>
        <w:t>acylglycine</w:t>
      </w:r>
      <w:proofErr w:type="spellEnd"/>
      <w:r>
        <w:rPr>
          <w:rStyle w:val="st"/>
        </w:rPr>
        <w:t>,</w:t>
      </w:r>
    </w:p>
    <w:p w:rsidR="00483457" w:rsidRDefault="00483457" w:rsidP="00483457">
      <w:pPr>
        <w:pStyle w:val="Default"/>
        <w:jc w:val="center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2241071" cy="1010475"/>
            <wp:effectExtent l="19050" t="0" r="6829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03" cy="100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57" w:rsidRDefault="00483457" w:rsidP="00483457">
      <w:pPr>
        <w:pStyle w:val="Default"/>
        <w:rPr>
          <w:rStyle w:val="st"/>
        </w:rPr>
      </w:pPr>
      <w:proofErr w:type="gramStart"/>
      <w:r>
        <w:rPr>
          <w:rStyle w:val="st"/>
        </w:rPr>
        <w:t>in</w:t>
      </w:r>
      <w:proofErr w:type="gramEnd"/>
      <w:r>
        <w:rPr>
          <w:rStyle w:val="st"/>
        </w:rPr>
        <w:t xml:space="preserve"> which case the </w:t>
      </w:r>
      <w:proofErr w:type="spellStart"/>
      <w:r>
        <w:rPr>
          <w:rStyle w:val="st"/>
        </w:rPr>
        <w:t>hydroxy</w:t>
      </w:r>
      <w:proofErr w:type="spellEnd"/>
      <w:r>
        <w:rPr>
          <w:rStyle w:val="st"/>
        </w:rPr>
        <w:t xml:space="preserve"> (-OH) group is lost from the carboxyl group of the alanine and the hydrogen atom (-H) is lost from the amino (-NH</w:t>
      </w:r>
      <w:r w:rsidRPr="00B36BAB">
        <w:rPr>
          <w:rStyle w:val="st"/>
          <w:vertAlign w:val="subscript"/>
        </w:rPr>
        <w:t>2</w:t>
      </w:r>
      <w:r>
        <w:rPr>
          <w:rStyle w:val="st"/>
        </w:rPr>
        <w:t>) group of the glycine.</w:t>
      </w:r>
    </w:p>
    <w:p w:rsidR="00483457" w:rsidRDefault="00483457" w:rsidP="00483457">
      <w:pPr>
        <w:pStyle w:val="Default"/>
      </w:pPr>
    </w:p>
    <w:p w:rsidR="00483457" w:rsidRPr="00483457" w:rsidRDefault="000B6639" w:rsidP="00483457">
      <w:pPr>
        <w:pStyle w:val="Default"/>
        <w:rPr>
          <w:b/>
        </w:rPr>
      </w:pPr>
      <w:r>
        <w:rPr>
          <w:b/>
        </w:rPr>
        <w:t>2.</w:t>
      </w:r>
      <w:bookmarkStart w:id="0" w:name="_GoBack"/>
      <w:bookmarkEnd w:id="0"/>
    </w:p>
    <w:p w:rsidR="00483457" w:rsidRDefault="000B6639" w:rsidP="00F2556A">
      <w:r>
        <w:rPr>
          <w:noProof/>
          <w:lang w:eastAsia="en-NZ"/>
        </w:rPr>
        <w:pict>
          <v:rect id="_x0000_s1030" style="position:absolute;margin-left:289.1pt;margin-top:16.6pt;width:39.45pt;height:59.1pt;z-index:251664384" strokecolor="#0d0d0d [3069]">
            <v:fill opacity="0"/>
          </v:rect>
        </w:pict>
      </w:r>
      <w:r>
        <w:rPr>
          <w:noProof/>
          <w:lang w:eastAsia="en-NZ"/>
        </w:rPr>
        <w:pict>
          <v:rect id="_x0000_s1029" style="position:absolute;margin-left:233.35pt;margin-top:29.2pt;width:39.45pt;height:59.1pt;z-index:251663360" strokecolor="#0d0d0d [3069]">
            <v:fill opacity="0"/>
          </v:rect>
        </w:pict>
      </w:r>
      <w:r>
        <w:rPr>
          <w:noProof/>
          <w:lang w:eastAsia="en-NZ"/>
        </w:rPr>
        <w:pict>
          <v:rect id="_x0000_s1028" style="position:absolute;margin-left:169.2pt;margin-top:8.45pt;width:39.45pt;height:1in;z-index:251662336" strokecolor="#0d0d0d [3069]">
            <v:fill opacity="0"/>
          </v:rect>
        </w:pict>
      </w:r>
      <w:r>
        <w:rPr>
          <w:noProof/>
          <w:lang w:eastAsia="en-NZ"/>
        </w:rPr>
        <w:pict>
          <v:rect id="_x0000_s1027" style="position:absolute;margin-left:115.4pt;margin-top:24pt;width:39.45pt;height:1in;z-index:251661312" strokecolor="#0d0d0d [3069]">
            <v:fill opacity="0"/>
          </v:rect>
        </w:pict>
      </w:r>
      <w:r>
        <w:rPr>
          <w:noProof/>
          <w:lang w:eastAsia="en-NZ"/>
        </w:rPr>
        <w:pict>
          <v:rect id="_x0000_s1026" style="position:absolute;margin-left:53.5pt;margin-top:3.7pt;width:39.45pt;height:1in;z-index:251660288" strokecolor="#0d0d0d [3069]">
            <v:fill opacity="0"/>
          </v:rect>
        </w:pict>
      </w:r>
      <w:r w:rsidR="00483457">
        <w:rPr>
          <w:noProof/>
          <w:lang w:val="en-US"/>
        </w:rPr>
        <w:drawing>
          <wp:inline distT="0" distB="0" distL="0" distR="0">
            <wp:extent cx="4986068" cy="1436318"/>
            <wp:effectExtent l="19050" t="0" r="5032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0" cy="144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457" w:rsidRPr="00483457" w:rsidRDefault="000B6639" w:rsidP="00F2556A">
      <w:r>
        <w:rPr>
          <w:b/>
        </w:rPr>
        <w:lastRenderedPageBreak/>
        <w:t>3.</w:t>
      </w:r>
      <w:r w:rsidR="00483457" w:rsidRPr="00483457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204"/>
        <w:gridCol w:w="5186"/>
      </w:tblGrid>
      <w:tr w:rsidR="00483457" w:rsidTr="00483457">
        <w:trPr>
          <w:trHeight w:val="3540"/>
        </w:trPr>
        <w:tc>
          <w:tcPr>
            <w:tcW w:w="5268" w:type="dxa"/>
          </w:tcPr>
          <w:p w:rsidR="00483457" w:rsidRDefault="00483457" w:rsidP="00825387">
            <w:pPr>
              <w:jc w:val="center"/>
            </w:pPr>
            <w:r>
              <w:t>Alanine</w:t>
            </w:r>
          </w:p>
          <w:p w:rsidR="00483457" w:rsidRDefault="00483457" w:rsidP="00825387">
            <w:pPr>
              <w:jc w:val="center"/>
            </w:pPr>
            <w:r>
              <w:t>zwitterion</w:t>
            </w:r>
          </w:p>
          <w:p w:rsidR="00483457" w:rsidRDefault="00483457" w:rsidP="0082538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04641" cy="1632005"/>
                  <wp:effectExtent l="19050" t="0" r="359" b="0"/>
                  <wp:docPr id="15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393" cy="163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483457" w:rsidRDefault="00483457" w:rsidP="00825387">
            <w:pPr>
              <w:jc w:val="center"/>
            </w:pPr>
            <w:r>
              <w:t>Alanine</w:t>
            </w:r>
          </w:p>
          <w:p w:rsidR="00483457" w:rsidRDefault="00483457" w:rsidP="00825387">
            <w:pPr>
              <w:jc w:val="center"/>
            </w:pPr>
            <w:r>
              <w:t>in acidic solution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114176" cy="1811547"/>
                  <wp:effectExtent l="19050" t="0" r="374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623" cy="18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483457" w:rsidRDefault="00483457" w:rsidP="00825387">
            <w:pPr>
              <w:jc w:val="center"/>
            </w:pPr>
            <w:r>
              <w:t xml:space="preserve">Alanine </w:t>
            </w:r>
          </w:p>
          <w:p w:rsidR="00483457" w:rsidRDefault="00483457" w:rsidP="00825387">
            <w:pPr>
              <w:jc w:val="center"/>
            </w:pPr>
            <w:r>
              <w:t>in basic solution</w:t>
            </w:r>
          </w:p>
          <w:p w:rsidR="00483457" w:rsidRDefault="00483457" w:rsidP="0082538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18377" cy="1555699"/>
                  <wp:effectExtent l="19050" t="0" r="0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31" cy="1557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3457" w:rsidRDefault="00483457" w:rsidP="00825387">
            <w:pPr>
              <w:jc w:val="center"/>
            </w:pPr>
          </w:p>
          <w:p w:rsidR="00483457" w:rsidRDefault="00483457" w:rsidP="00825387">
            <w:pPr>
              <w:jc w:val="center"/>
            </w:pPr>
          </w:p>
        </w:tc>
      </w:tr>
    </w:tbl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483457" w:rsidRDefault="00483457" w:rsidP="00F2556A">
      <w:pPr>
        <w:rPr>
          <w:rFonts w:cs="Times New Roman"/>
          <w:szCs w:val="24"/>
        </w:rPr>
      </w:pPr>
    </w:p>
    <w:p w:rsidR="000B6639" w:rsidRPr="000B6639" w:rsidRDefault="000B6639" w:rsidP="000B6639">
      <w:pPr>
        <w:jc w:val="right"/>
        <w:rPr>
          <w:sz w:val="20"/>
          <w:szCs w:val="20"/>
        </w:rPr>
      </w:pPr>
      <w:r w:rsidRPr="000B6639">
        <w:rPr>
          <w:sz w:val="20"/>
          <w:szCs w:val="20"/>
        </w:rPr>
        <w:t xml:space="preserve">© 2018 </w:t>
      </w:r>
      <w:hyperlink r:id="rId11" w:history="1">
        <w:r w:rsidRPr="000B6639">
          <w:rPr>
            <w:rStyle w:val="Hyperlink"/>
            <w:sz w:val="20"/>
            <w:szCs w:val="20"/>
          </w:rPr>
          <w:t>https://www.chemical-minds.com</w:t>
        </w:r>
      </w:hyperlink>
    </w:p>
    <w:sectPr w:rsidR="000B6639" w:rsidRPr="000B6639" w:rsidSect="00483457">
      <w:pgSz w:w="16838" w:h="11906" w:orient="landscape" w:code="9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480A"/>
    <w:rsid w:val="000B6639"/>
    <w:rsid w:val="000D480A"/>
    <w:rsid w:val="000F3FAB"/>
    <w:rsid w:val="00203482"/>
    <w:rsid w:val="00483457"/>
    <w:rsid w:val="004E7DD7"/>
    <w:rsid w:val="0058188F"/>
    <w:rsid w:val="00581A41"/>
    <w:rsid w:val="00600E50"/>
    <w:rsid w:val="00680ADF"/>
    <w:rsid w:val="0073589A"/>
    <w:rsid w:val="007A2DDF"/>
    <w:rsid w:val="0090209E"/>
    <w:rsid w:val="009C3981"/>
    <w:rsid w:val="00F2556A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670B7CB-D202-4FD7-8C24-57231D6E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80A"/>
    <w:rPr>
      <w:b/>
      <w:bCs/>
    </w:rPr>
  </w:style>
  <w:style w:type="paragraph" w:customStyle="1" w:styleId="indent2">
    <w:name w:val="indent2"/>
    <w:basedOn w:val="Normal"/>
    <w:uiPriority w:val="99"/>
    <w:rsid w:val="000D480A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 w:cs="Times New Roman"/>
      <w:sz w:val="22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E7D"/>
    <w:rPr>
      <w:color w:val="0000FF" w:themeColor="hyperlink"/>
      <w:u w:val="single"/>
    </w:rPr>
  </w:style>
  <w:style w:type="paragraph" w:customStyle="1" w:styleId="Default">
    <w:name w:val="Default"/>
    <w:rsid w:val="0048345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">
    <w:name w:val="st"/>
    <w:basedOn w:val="DefaultParagraphFont"/>
    <w:rsid w:val="0048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hemical-minds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3</cp:revision>
  <dcterms:created xsi:type="dcterms:W3CDTF">2013-08-31T06:26:00Z</dcterms:created>
  <dcterms:modified xsi:type="dcterms:W3CDTF">2018-07-24T01:09:00Z</dcterms:modified>
</cp:coreProperties>
</file>