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408B" w14:textId="77777777" w:rsidR="0009227D" w:rsidRPr="0009227D" w:rsidRDefault="0009227D" w:rsidP="0009227D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09227D">
        <w:rPr>
          <w:rFonts w:cs="Arial"/>
          <w:b/>
          <w:sz w:val="28"/>
        </w:rPr>
        <w:t>Achievement Standard</w:t>
      </w:r>
    </w:p>
    <w:p w14:paraId="48CEC161" w14:textId="77777777" w:rsidR="0009227D" w:rsidRPr="0009227D" w:rsidRDefault="0009227D" w:rsidP="0009227D">
      <w:pPr>
        <w:rPr>
          <w:rFonts w:cs="Arial"/>
          <w:lang w:val="en-GB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51"/>
        <w:gridCol w:w="1277"/>
        <w:gridCol w:w="810"/>
        <w:gridCol w:w="1490"/>
        <w:gridCol w:w="1390"/>
        <w:gridCol w:w="1530"/>
        <w:gridCol w:w="450"/>
        <w:gridCol w:w="1875"/>
      </w:tblGrid>
      <w:tr w:rsidR="0009227D" w:rsidRPr="0009227D" w14:paraId="2A71199F" w14:textId="77777777" w:rsidTr="00B26C36">
        <w:trPr>
          <w:cantSplit/>
        </w:trPr>
        <w:tc>
          <w:tcPr>
            <w:tcW w:w="3438" w:type="dxa"/>
            <w:gridSpan w:val="3"/>
          </w:tcPr>
          <w:p w14:paraId="3EDD7883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Subject Reference</w:t>
            </w:r>
          </w:p>
        </w:tc>
        <w:tc>
          <w:tcPr>
            <w:tcW w:w="6735" w:type="dxa"/>
            <w:gridSpan w:val="5"/>
          </w:tcPr>
          <w:p w14:paraId="5164FE00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Chemistry 2.6</w:t>
            </w:r>
          </w:p>
        </w:tc>
      </w:tr>
      <w:tr w:rsidR="0009227D" w:rsidRPr="0009227D" w14:paraId="4BB9D1F8" w14:textId="77777777" w:rsidTr="00B26C36">
        <w:tc>
          <w:tcPr>
            <w:tcW w:w="3438" w:type="dxa"/>
            <w:gridSpan w:val="3"/>
          </w:tcPr>
          <w:p w14:paraId="4FF0B783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Title</w:t>
            </w:r>
          </w:p>
        </w:tc>
        <w:tc>
          <w:tcPr>
            <w:tcW w:w="6735" w:type="dxa"/>
            <w:gridSpan w:val="5"/>
          </w:tcPr>
          <w:p w14:paraId="60BCF2C1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</w:rPr>
              <w:t>Demonstrate</w:t>
            </w:r>
            <w:r w:rsidRPr="0009227D" w:rsidDel="00D85A46">
              <w:rPr>
                <w:rFonts w:cs="Arial"/>
              </w:rPr>
              <w:t xml:space="preserve"> </w:t>
            </w:r>
            <w:r w:rsidRPr="0009227D">
              <w:rPr>
                <w:rFonts w:cs="Arial"/>
              </w:rPr>
              <w:t>understanding of chemical reactivity</w:t>
            </w:r>
          </w:p>
        </w:tc>
      </w:tr>
      <w:tr w:rsidR="0009227D" w:rsidRPr="0009227D" w14:paraId="0FDD33EB" w14:textId="77777777" w:rsidTr="00B26C36">
        <w:tc>
          <w:tcPr>
            <w:tcW w:w="1351" w:type="dxa"/>
          </w:tcPr>
          <w:p w14:paraId="32B8FA9A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Level</w:t>
            </w:r>
          </w:p>
        </w:tc>
        <w:tc>
          <w:tcPr>
            <w:tcW w:w="2087" w:type="dxa"/>
            <w:gridSpan w:val="2"/>
          </w:tcPr>
          <w:p w14:paraId="7D72A1CF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2</w:t>
            </w:r>
          </w:p>
        </w:tc>
        <w:tc>
          <w:tcPr>
            <w:tcW w:w="1490" w:type="dxa"/>
          </w:tcPr>
          <w:p w14:paraId="31B6876C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Credits</w:t>
            </w:r>
          </w:p>
        </w:tc>
        <w:tc>
          <w:tcPr>
            <w:tcW w:w="1390" w:type="dxa"/>
          </w:tcPr>
          <w:p w14:paraId="42761293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4</w:t>
            </w:r>
          </w:p>
        </w:tc>
        <w:tc>
          <w:tcPr>
            <w:tcW w:w="1980" w:type="dxa"/>
            <w:gridSpan w:val="2"/>
          </w:tcPr>
          <w:p w14:paraId="46B37129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Assessment</w:t>
            </w:r>
          </w:p>
        </w:tc>
        <w:tc>
          <w:tcPr>
            <w:tcW w:w="1875" w:type="dxa"/>
          </w:tcPr>
          <w:p w14:paraId="6D0910FA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External</w:t>
            </w:r>
          </w:p>
        </w:tc>
      </w:tr>
      <w:tr w:rsidR="0009227D" w:rsidRPr="0009227D" w14:paraId="0DEA6B04" w14:textId="77777777" w:rsidTr="00B26C36">
        <w:tc>
          <w:tcPr>
            <w:tcW w:w="1351" w:type="dxa"/>
          </w:tcPr>
          <w:p w14:paraId="341D83D5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Subfield</w:t>
            </w:r>
          </w:p>
        </w:tc>
        <w:tc>
          <w:tcPr>
            <w:tcW w:w="8822" w:type="dxa"/>
            <w:gridSpan w:val="7"/>
          </w:tcPr>
          <w:p w14:paraId="6B574477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Science</w:t>
            </w:r>
          </w:p>
        </w:tc>
      </w:tr>
      <w:tr w:rsidR="0009227D" w:rsidRPr="0009227D" w14:paraId="04DCDA57" w14:textId="77777777" w:rsidTr="00B26C36">
        <w:tc>
          <w:tcPr>
            <w:tcW w:w="1351" w:type="dxa"/>
          </w:tcPr>
          <w:p w14:paraId="75182D93" w14:textId="77777777" w:rsidR="0009227D" w:rsidRPr="0009227D" w:rsidRDefault="0009227D" w:rsidP="0009227D">
            <w:pPr>
              <w:spacing w:after="120"/>
              <w:rPr>
                <w:rFonts w:cs="Arial"/>
                <w:b/>
              </w:rPr>
            </w:pPr>
            <w:r w:rsidRPr="0009227D">
              <w:rPr>
                <w:rFonts w:cs="Arial"/>
                <w:b/>
              </w:rPr>
              <w:t>Domain</w:t>
            </w:r>
          </w:p>
        </w:tc>
        <w:tc>
          <w:tcPr>
            <w:tcW w:w="8822" w:type="dxa"/>
            <w:gridSpan w:val="7"/>
          </w:tcPr>
          <w:p w14:paraId="3B99584A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Chemistry</w:t>
            </w:r>
          </w:p>
        </w:tc>
      </w:tr>
      <w:tr w:rsidR="0009227D" w:rsidRPr="0009227D" w14:paraId="72D3163C" w14:textId="77777777" w:rsidTr="00B26C36">
        <w:tc>
          <w:tcPr>
            <w:tcW w:w="2628" w:type="dxa"/>
            <w:gridSpan w:val="2"/>
          </w:tcPr>
          <w:p w14:paraId="27B0EBB6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bookmarkStart w:id="1" w:name="OLE_LINK1"/>
            <w:r w:rsidRPr="0009227D">
              <w:rPr>
                <w:rFonts w:cs="Arial"/>
                <w:b/>
                <w:lang w:val="en-GB"/>
              </w:rPr>
              <w:t>Status</w:t>
            </w:r>
          </w:p>
        </w:tc>
        <w:tc>
          <w:tcPr>
            <w:tcW w:w="2300" w:type="dxa"/>
            <w:gridSpan w:val="2"/>
            <w:vAlign w:val="center"/>
          </w:tcPr>
          <w:p w14:paraId="494F701F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  <w:lang w:val="en-GB"/>
              </w:rPr>
              <w:t>Registered</w:t>
            </w:r>
          </w:p>
        </w:tc>
        <w:tc>
          <w:tcPr>
            <w:tcW w:w="2920" w:type="dxa"/>
            <w:gridSpan w:val="2"/>
          </w:tcPr>
          <w:p w14:paraId="078D2849" w14:textId="77777777" w:rsidR="0009227D" w:rsidRPr="0009227D" w:rsidRDefault="0009227D" w:rsidP="0009227D">
            <w:pPr>
              <w:spacing w:after="120"/>
              <w:rPr>
                <w:rFonts w:cs="Arial"/>
                <w:b/>
                <w:lang w:val="en-GB"/>
              </w:rPr>
            </w:pPr>
            <w:r w:rsidRPr="0009227D">
              <w:rPr>
                <w:rFonts w:cs="Arial"/>
                <w:b/>
                <w:lang w:val="en-GB"/>
              </w:rPr>
              <w:t>Status date</w:t>
            </w:r>
          </w:p>
        </w:tc>
        <w:tc>
          <w:tcPr>
            <w:tcW w:w="2325" w:type="dxa"/>
            <w:gridSpan w:val="2"/>
          </w:tcPr>
          <w:p w14:paraId="4D4F35E3" w14:textId="77777777" w:rsidR="0009227D" w:rsidRPr="0009227D" w:rsidRDefault="0009227D" w:rsidP="0009227D">
            <w:p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ascii="Arial Mäori" w:hAnsi="Arial Mäori"/>
                <w:lang w:val="en-GB"/>
              </w:rPr>
              <w:t>17 November 2011</w:t>
            </w:r>
          </w:p>
        </w:tc>
      </w:tr>
      <w:tr w:rsidR="0009227D" w:rsidRPr="0009227D" w14:paraId="15C7E8D1" w14:textId="77777777" w:rsidTr="00B26C36">
        <w:tc>
          <w:tcPr>
            <w:tcW w:w="2628" w:type="dxa"/>
            <w:gridSpan w:val="2"/>
          </w:tcPr>
          <w:p w14:paraId="2708F4A8" w14:textId="77777777" w:rsidR="0009227D" w:rsidRPr="0009227D" w:rsidRDefault="0009227D" w:rsidP="0009227D">
            <w:pPr>
              <w:spacing w:after="120"/>
              <w:rPr>
                <w:b/>
                <w:lang w:val="en-GB"/>
              </w:rPr>
            </w:pPr>
            <w:r w:rsidRPr="0009227D">
              <w:rPr>
                <w:rFonts w:ascii="Arial Mäori" w:hAnsi="Arial Mäori"/>
                <w:b/>
                <w:lang w:val="en-GB"/>
              </w:rPr>
              <w:t>Planned review date</w:t>
            </w:r>
          </w:p>
        </w:tc>
        <w:tc>
          <w:tcPr>
            <w:tcW w:w="2300" w:type="dxa"/>
            <w:gridSpan w:val="2"/>
          </w:tcPr>
          <w:p w14:paraId="1D9EAA6C" w14:textId="77777777" w:rsidR="0009227D" w:rsidRPr="0009227D" w:rsidRDefault="0009227D" w:rsidP="00F81526">
            <w:pPr>
              <w:spacing w:after="120"/>
              <w:rPr>
                <w:rFonts w:ascii="Arial Mäori" w:hAnsi="Arial Mäori"/>
                <w:lang w:val="en-GB"/>
              </w:rPr>
            </w:pPr>
            <w:r w:rsidRPr="0009227D">
              <w:rPr>
                <w:rFonts w:ascii="Arial Mäori" w:hAnsi="Arial Mäori"/>
                <w:lang w:val="en-GB"/>
              </w:rPr>
              <w:t>31 December 20</w:t>
            </w:r>
            <w:r w:rsidR="00F81526">
              <w:rPr>
                <w:rFonts w:ascii="Arial Mäori" w:hAnsi="Arial Mäori"/>
                <w:lang w:val="en-GB"/>
              </w:rPr>
              <w:t>20</w:t>
            </w:r>
          </w:p>
        </w:tc>
        <w:tc>
          <w:tcPr>
            <w:tcW w:w="2920" w:type="dxa"/>
            <w:gridSpan w:val="2"/>
          </w:tcPr>
          <w:p w14:paraId="6AFCBF75" w14:textId="77777777" w:rsidR="0009227D" w:rsidRPr="0009227D" w:rsidRDefault="0009227D" w:rsidP="0009227D">
            <w:pPr>
              <w:spacing w:after="120"/>
              <w:rPr>
                <w:rFonts w:ascii="Arial Mäori" w:hAnsi="Arial Mäori"/>
                <w:lang w:val="en-GB"/>
              </w:rPr>
            </w:pPr>
            <w:r w:rsidRPr="0009227D">
              <w:rPr>
                <w:rFonts w:ascii="Arial Mäori" w:hAnsi="Arial Mäori"/>
                <w:b/>
                <w:lang w:val="en-GB"/>
              </w:rPr>
              <w:t>Date version published</w:t>
            </w:r>
          </w:p>
        </w:tc>
        <w:tc>
          <w:tcPr>
            <w:tcW w:w="2325" w:type="dxa"/>
            <w:gridSpan w:val="2"/>
          </w:tcPr>
          <w:p w14:paraId="7D49DD9E" w14:textId="77777777" w:rsidR="0009227D" w:rsidRPr="0009227D" w:rsidRDefault="0009227D" w:rsidP="0009227D">
            <w:pPr>
              <w:spacing w:after="120"/>
              <w:rPr>
                <w:rFonts w:ascii="Arial Mäori" w:hAnsi="Arial Mäori"/>
                <w:lang w:val="en-GB"/>
              </w:rPr>
            </w:pPr>
            <w:r w:rsidRPr="0009227D">
              <w:rPr>
                <w:rFonts w:ascii="Arial Mäori" w:hAnsi="Arial Mäori"/>
                <w:lang w:val="en-GB"/>
              </w:rPr>
              <w:t>20 November 2014</w:t>
            </w:r>
          </w:p>
        </w:tc>
      </w:tr>
      <w:bookmarkEnd w:id="1"/>
    </w:tbl>
    <w:p w14:paraId="313B5B7D" w14:textId="77777777" w:rsidR="0009227D" w:rsidRPr="0009227D" w:rsidRDefault="0009227D" w:rsidP="0009227D">
      <w:pPr>
        <w:pBdr>
          <w:bottom w:val="single" w:sz="4" w:space="1" w:color="auto"/>
        </w:pBdr>
        <w:ind w:right="-1"/>
        <w:rPr>
          <w:rFonts w:cs="Arial"/>
          <w:lang w:val="en-GB"/>
        </w:rPr>
      </w:pPr>
    </w:p>
    <w:p w14:paraId="4D31A1C7" w14:textId="77777777" w:rsidR="0009227D" w:rsidRPr="0009227D" w:rsidRDefault="0009227D" w:rsidP="0009227D">
      <w:pPr>
        <w:spacing w:before="0"/>
        <w:rPr>
          <w:rFonts w:cs="Arial"/>
          <w:lang w:val="en-GB"/>
        </w:rPr>
      </w:pPr>
    </w:p>
    <w:p w14:paraId="04182132" w14:textId="77777777" w:rsidR="0009227D" w:rsidRPr="0009227D" w:rsidRDefault="0009227D" w:rsidP="0009227D">
      <w:pPr>
        <w:spacing w:before="0"/>
        <w:rPr>
          <w:rFonts w:cs="Arial"/>
          <w:lang w:val="en-GB"/>
        </w:rPr>
      </w:pPr>
      <w:r w:rsidRPr="0009227D">
        <w:rPr>
          <w:rFonts w:cs="Arial"/>
          <w:lang w:val="en-GB"/>
        </w:rPr>
        <w:t>This achievement standard involves demonstrating understanding of chemical reactivity.</w:t>
      </w:r>
    </w:p>
    <w:p w14:paraId="2CBE1CBC" w14:textId="77777777" w:rsidR="0009227D" w:rsidRPr="0009227D" w:rsidRDefault="0009227D" w:rsidP="0009227D">
      <w:pPr>
        <w:spacing w:before="0"/>
        <w:rPr>
          <w:rFonts w:cs="Arial"/>
          <w:lang w:val="en-GB"/>
        </w:rPr>
      </w:pPr>
    </w:p>
    <w:p w14:paraId="14611A29" w14:textId="77777777" w:rsidR="0009227D" w:rsidRPr="0009227D" w:rsidRDefault="0009227D" w:rsidP="0009227D">
      <w:pPr>
        <w:keepNext/>
        <w:spacing w:before="0"/>
        <w:rPr>
          <w:rFonts w:cs="Arial"/>
          <w:b/>
          <w:lang w:val="en-GB"/>
        </w:rPr>
      </w:pPr>
      <w:r w:rsidRPr="0009227D">
        <w:rPr>
          <w:rFonts w:cs="Arial"/>
          <w:b/>
          <w:lang w:val="en-GB"/>
        </w:rPr>
        <w:t>Achievement Criteria</w:t>
      </w:r>
    </w:p>
    <w:p w14:paraId="6C3563C5" w14:textId="77777777" w:rsidR="0009227D" w:rsidRPr="0009227D" w:rsidRDefault="0009227D" w:rsidP="0009227D">
      <w:pPr>
        <w:keepNext/>
        <w:spacing w:before="0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391"/>
        <w:gridCol w:w="3391"/>
      </w:tblGrid>
      <w:tr w:rsidR="0009227D" w:rsidRPr="0009227D" w14:paraId="0165DB3E" w14:textId="77777777" w:rsidTr="00B26C36">
        <w:trPr>
          <w:cantSplit/>
          <w:tblHeader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16457" w14:textId="77777777" w:rsidR="0009227D" w:rsidRPr="0009227D" w:rsidRDefault="0009227D" w:rsidP="0009227D">
            <w:pPr>
              <w:keepNext/>
              <w:spacing w:after="120"/>
              <w:rPr>
                <w:rFonts w:cs="Arial"/>
                <w:b/>
                <w:lang w:val="en-GB"/>
              </w:rPr>
            </w:pPr>
            <w:r w:rsidRPr="0009227D"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34D7A" w14:textId="77777777" w:rsidR="0009227D" w:rsidRPr="0009227D" w:rsidRDefault="0009227D" w:rsidP="0009227D">
            <w:pPr>
              <w:keepNext/>
              <w:spacing w:after="120"/>
              <w:rPr>
                <w:rFonts w:cs="Arial"/>
                <w:b/>
                <w:lang w:val="en-GB"/>
              </w:rPr>
            </w:pPr>
            <w:r w:rsidRPr="0009227D">
              <w:rPr>
                <w:rFonts w:cs="Arial"/>
                <w:b/>
                <w:lang w:val="en-GB"/>
              </w:rPr>
              <w:t>Achievement with Merit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FFC11" w14:textId="77777777" w:rsidR="0009227D" w:rsidRPr="0009227D" w:rsidRDefault="0009227D" w:rsidP="0009227D">
            <w:pPr>
              <w:keepNext/>
              <w:spacing w:after="120"/>
              <w:rPr>
                <w:rFonts w:cs="Arial"/>
                <w:b/>
                <w:lang w:val="en-GB"/>
              </w:rPr>
            </w:pPr>
            <w:r w:rsidRPr="0009227D">
              <w:rPr>
                <w:rFonts w:cs="Arial"/>
                <w:b/>
                <w:lang w:val="en-GB"/>
              </w:rPr>
              <w:t>Achievement with Excellence</w:t>
            </w:r>
          </w:p>
        </w:tc>
      </w:tr>
      <w:tr w:rsidR="0009227D" w:rsidRPr="0009227D" w14:paraId="02AABA41" w14:textId="77777777" w:rsidTr="00B26C36">
        <w:trPr>
          <w:cantSplit/>
          <w:trHeight w:val="103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372" w14:textId="77777777" w:rsidR="0009227D" w:rsidRPr="0009227D" w:rsidRDefault="0009227D" w:rsidP="0009227D">
            <w:pPr>
              <w:numPr>
                <w:ilvl w:val="0"/>
                <w:numId w:val="33"/>
              </w:num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</w:rPr>
              <w:t>Demonstrate understanding of chemical reactivity.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D3F8D" w14:textId="77777777" w:rsidR="0009227D" w:rsidRPr="0009227D" w:rsidRDefault="0009227D" w:rsidP="0009227D">
            <w:pPr>
              <w:numPr>
                <w:ilvl w:val="0"/>
                <w:numId w:val="33"/>
              </w:num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</w:rPr>
              <w:t>Demonstrate in-depth understanding of chemical reactivity.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DFEE" w14:textId="77777777" w:rsidR="0009227D" w:rsidRPr="0009227D" w:rsidRDefault="0009227D" w:rsidP="0009227D">
            <w:pPr>
              <w:numPr>
                <w:ilvl w:val="0"/>
                <w:numId w:val="33"/>
              </w:numPr>
              <w:spacing w:after="120"/>
              <w:rPr>
                <w:rFonts w:cs="Arial"/>
                <w:lang w:val="en-GB"/>
              </w:rPr>
            </w:pPr>
            <w:r w:rsidRPr="0009227D">
              <w:rPr>
                <w:rFonts w:cs="Arial"/>
              </w:rPr>
              <w:t>Demonstrate comprehensive understanding of chemical reactivity.</w:t>
            </w:r>
          </w:p>
        </w:tc>
      </w:tr>
    </w:tbl>
    <w:p w14:paraId="6AB80EC7" w14:textId="77777777" w:rsidR="0009227D" w:rsidRPr="0009227D" w:rsidRDefault="0009227D" w:rsidP="0009227D">
      <w:pPr>
        <w:spacing w:before="0"/>
        <w:rPr>
          <w:rFonts w:cs="Arial"/>
          <w:lang w:val="en-GB"/>
        </w:rPr>
      </w:pPr>
    </w:p>
    <w:p w14:paraId="321BC6DB" w14:textId="77777777" w:rsidR="0009227D" w:rsidRPr="0009227D" w:rsidRDefault="0009227D" w:rsidP="0009227D">
      <w:pPr>
        <w:keepNext/>
        <w:spacing w:before="0"/>
        <w:rPr>
          <w:rFonts w:cs="Arial"/>
          <w:b/>
          <w:lang w:val="en-GB"/>
        </w:rPr>
      </w:pPr>
      <w:r w:rsidRPr="0009227D">
        <w:rPr>
          <w:rFonts w:cs="Arial"/>
          <w:b/>
          <w:lang w:val="en-GB"/>
        </w:rPr>
        <w:t>Explanatory Notes</w:t>
      </w:r>
    </w:p>
    <w:p w14:paraId="6EA892E0" w14:textId="77777777" w:rsidR="0009227D" w:rsidRPr="0009227D" w:rsidRDefault="0009227D" w:rsidP="0009227D">
      <w:pPr>
        <w:keepNext/>
        <w:spacing w:before="0"/>
        <w:rPr>
          <w:rFonts w:cs="Arial"/>
          <w:b/>
          <w:lang w:val="en-GB"/>
        </w:rPr>
      </w:pPr>
    </w:p>
    <w:p w14:paraId="54179AFA" w14:textId="77777777" w:rsidR="0009227D" w:rsidRPr="0009227D" w:rsidRDefault="0009227D" w:rsidP="0009227D">
      <w:pPr>
        <w:keepNext/>
        <w:numPr>
          <w:ilvl w:val="0"/>
          <w:numId w:val="34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 xml:space="preserve">This achievement standard is derived from </w:t>
      </w:r>
      <w:r w:rsidRPr="0009227D">
        <w:rPr>
          <w:rFonts w:ascii="Arial Mäori" w:hAnsi="Arial Mäori"/>
          <w:i/>
        </w:rPr>
        <w:t>The New Zealand Curriculum</w:t>
      </w:r>
      <w:r w:rsidRPr="0009227D">
        <w:rPr>
          <w:rFonts w:ascii="Arial Mäori" w:hAnsi="Arial Mäori"/>
        </w:rPr>
        <w:t xml:space="preserve">, Learning Media, Ministry of Education, 2007, Level 7.  The standard is aligned to the Nature of Science achievement objectives and the Material World achievement objectives; </w:t>
      </w:r>
      <w:bookmarkStart w:id="2" w:name="OLE_LINK2"/>
      <w:r w:rsidRPr="0009227D">
        <w:rPr>
          <w:rFonts w:cs="Arial"/>
        </w:rPr>
        <w:t xml:space="preserve">and is related to the material in the </w:t>
      </w:r>
      <w:r w:rsidRPr="0009227D">
        <w:rPr>
          <w:rFonts w:cs="Arial"/>
          <w:i/>
        </w:rPr>
        <w:t>Teaching and Learning Guide for Chemistry</w:t>
      </w:r>
      <w:r w:rsidRPr="0009227D">
        <w:rPr>
          <w:rFonts w:cs="Arial"/>
        </w:rPr>
        <w:t xml:space="preserve">, Ministry of Education, 2010 at </w:t>
      </w:r>
      <w:hyperlink r:id="rId7" w:history="1">
        <w:r w:rsidRPr="0009227D">
          <w:rPr>
            <w:rFonts w:cs="Arial"/>
            <w:color w:val="000000"/>
            <w:u w:val="single"/>
          </w:rPr>
          <w:t>http://seniorsecondary.tki.org.nz</w:t>
        </w:r>
      </w:hyperlink>
      <w:bookmarkEnd w:id="2"/>
      <w:r w:rsidRPr="0009227D">
        <w:rPr>
          <w:rFonts w:ascii="Arial Mäori" w:hAnsi="Arial Mäori"/>
        </w:rPr>
        <w:t>.</w:t>
      </w:r>
    </w:p>
    <w:p w14:paraId="28A14F8C" w14:textId="77777777" w:rsidR="0009227D" w:rsidRPr="0009227D" w:rsidRDefault="0009227D" w:rsidP="0009227D">
      <w:pPr>
        <w:keepNext/>
        <w:tabs>
          <w:tab w:val="num" w:pos="567"/>
        </w:tabs>
        <w:spacing w:before="0"/>
        <w:ind w:left="567" w:hanging="567"/>
        <w:rPr>
          <w:rFonts w:ascii="Arial Mäori" w:hAnsi="Arial Mäori"/>
          <w:lang w:val="en-GB"/>
        </w:rPr>
      </w:pPr>
    </w:p>
    <w:p w14:paraId="4F7588D2" w14:textId="77777777" w:rsidR="0009227D" w:rsidRPr="0009227D" w:rsidRDefault="0009227D" w:rsidP="0009227D">
      <w:pPr>
        <w:spacing w:before="0"/>
        <w:ind w:left="567"/>
      </w:pPr>
      <w:r w:rsidRPr="0009227D">
        <w:rPr>
          <w:rFonts w:ascii="Arial Mäori" w:hAnsi="Arial Mäori"/>
        </w:rPr>
        <w:t xml:space="preserve">This standard is also derived from Te Marautanga o Aotearoa.  For details of Te Marautanga o Aotearoa achievement objectives to which this standard relates, see the </w:t>
      </w:r>
      <w:hyperlink r:id="rId8" w:history="1">
        <w:r w:rsidRPr="0009227D">
          <w:rPr>
            <w:rFonts w:ascii="Arial Mäori" w:hAnsi="Arial Mäori"/>
            <w:color w:val="0000FF"/>
            <w:u w:val="single"/>
          </w:rPr>
          <w:t>Papa Whakaako</w:t>
        </w:r>
      </w:hyperlink>
      <w:r w:rsidRPr="0009227D">
        <w:rPr>
          <w:rFonts w:ascii="Arial Mäori" w:hAnsi="Arial Mäori"/>
        </w:rPr>
        <w:t xml:space="preserve"> for the relevant learning area.</w:t>
      </w:r>
    </w:p>
    <w:p w14:paraId="6B0ECDC2" w14:textId="77777777" w:rsidR="0009227D" w:rsidRPr="0009227D" w:rsidRDefault="0009227D" w:rsidP="0009227D">
      <w:pPr>
        <w:keepNext/>
        <w:tabs>
          <w:tab w:val="num" w:pos="567"/>
        </w:tabs>
        <w:spacing w:before="0"/>
        <w:ind w:left="567" w:hanging="567"/>
        <w:rPr>
          <w:rFonts w:ascii="Arial Mäori" w:hAnsi="Arial Mäori"/>
          <w:lang w:val="en-GB"/>
        </w:rPr>
      </w:pPr>
    </w:p>
    <w:p w14:paraId="31F873C7" w14:textId="77777777" w:rsidR="0009227D" w:rsidRPr="0009227D" w:rsidRDefault="0009227D" w:rsidP="0009227D">
      <w:pPr>
        <w:keepNext/>
        <w:numPr>
          <w:ilvl w:val="0"/>
          <w:numId w:val="34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 xml:space="preserve">Procedures outlined in </w:t>
      </w:r>
      <w:r w:rsidRPr="0009227D">
        <w:rPr>
          <w:rFonts w:ascii="Arial Mäori" w:hAnsi="Arial Mäori"/>
          <w:i/>
        </w:rPr>
        <w:t>Safety and Science</w:t>
      </w:r>
      <w:r w:rsidRPr="0009227D">
        <w:rPr>
          <w:rFonts w:ascii="Arial Mäori" w:hAnsi="Arial Mäori"/>
        </w:rPr>
        <w:t xml:space="preserve">: </w:t>
      </w:r>
      <w:r w:rsidRPr="0009227D">
        <w:rPr>
          <w:rFonts w:ascii="Arial Mäori" w:hAnsi="Arial Mäori"/>
          <w:i/>
        </w:rPr>
        <w:t xml:space="preserve">a Guidance Manual for </w:t>
      </w:r>
      <w:smartTag w:uri="urn:schemas-microsoft-com:office:smarttags" w:element="place">
        <w:smartTag w:uri="urn:schemas-microsoft-com:office:smarttags" w:element="country-region">
          <w:r w:rsidRPr="0009227D">
            <w:rPr>
              <w:rFonts w:ascii="Arial Mäori" w:hAnsi="Arial Mäori"/>
              <w:i/>
            </w:rPr>
            <w:t>New Zealand</w:t>
          </w:r>
        </w:smartTag>
      </w:smartTag>
      <w:r w:rsidRPr="0009227D">
        <w:rPr>
          <w:rFonts w:ascii="Arial Mäori" w:hAnsi="Arial Mäori"/>
          <w:i/>
        </w:rPr>
        <w:t xml:space="preserve"> Schools, </w:t>
      </w:r>
      <w:r w:rsidRPr="0009227D">
        <w:rPr>
          <w:rFonts w:ascii="Arial Mäori" w:hAnsi="Arial Mäori"/>
        </w:rPr>
        <w:t>Learning Media, Ministry of Education, 2000 should be followed.</w:t>
      </w:r>
    </w:p>
    <w:p w14:paraId="237E6D24" w14:textId="77777777" w:rsidR="0009227D" w:rsidRPr="0009227D" w:rsidRDefault="0009227D" w:rsidP="0009227D">
      <w:pPr>
        <w:keepNext/>
        <w:tabs>
          <w:tab w:val="num" w:pos="567"/>
        </w:tabs>
        <w:spacing w:before="0"/>
        <w:ind w:left="567" w:hanging="567"/>
        <w:rPr>
          <w:rFonts w:ascii="Arial Mäori" w:hAnsi="Arial Mäori"/>
          <w:lang w:val="en-GB"/>
        </w:rPr>
      </w:pPr>
    </w:p>
    <w:p w14:paraId="442DBB5F" w14:textId="77777777" w:rsidR="0009227D" w:rsidRPr="0009227D" w:rsidRDefault="0009227D" w:rsidP="0009227D">
      <w:pPr>
        <w:keepNext/>
        <w:numPr>
          <w:ilvl w:val="0"/>
          <w:numId w:val="34"/>
        </w:numPr>
        <w:spacing w:before="0"/>
        <w:rPr>
          <w:rFonts w:ascii="Arial Mäori" w:hAnsi="Arial Mäori" w:cs="Arial"/>
        </w:rPr>
      </w:pPr>
      <w:r w:rsidRPr="0009227D">
        <w:rPr>
          <w:rFonts w:ascii="Arial Mäori" w:hAnsi="Arial Mäori" w:cs="Arial"/>
          <w:i/>
          <w:iCs/>
        </w:rPr>
        <w:t xml:space="preserve">Demonstrate understanding </w:t>
      </w:r>
      <w:r w:rsidRPr="0009227D">
        <w:rPr>
          <w:rFonts w:ascii="Arial Mäori" w:hAnsi="Arial Mäori" w:cs="Arial"/>
        </w:rPr>
        <w:t>involves describing, identifying, naming, drawing, calculating, or giving an account of</w:t>
      </w:r>
      <w:r w:rsidRPr="0009227D">
        <w:rPr>
          <w:rFonts w:ascii="Arial Mäori" w:hAnsi="Arial Mäori"/>
        </w:rPr>
        <w:t xml:space="preserve"> </w:t>
      </w:r>
      <w:r w:rsidRPr="0009227D">
        <w:rPr>
          <w:rFonts w:cs="Arial"/>
          <w:lang w:val="en-GB"/>
        </w:rPr>
        <w:t>chemical reactivity.</w:t>
      </w:r>
      <w:r w:rsidRPr="0009227D">
        <w:rPr>
          <w:rFonts w:ascii="Arial Mäori" w:hAnsi="Arial Mäori" w:cs="Arial"/>
        </w:rPr>
        <w:t xml:space="preserve">  This requires the use of chemistry vocabulary, symbols and conventions. </w:t>
      </w:r>
    </w:p>
    <w:p w14:paraId="2979F551" w14:textId="77777777" w:rsidR="0009227D" w:rsidRPr="0009227D" w:rsidRDefault="0009227D" w:rsidP="0009227D">
      <w:pPr>
        <w:tabs>
          <w:tab w:val="left" w:pos="720"/>
          <w:tab w:val="left" w:pos="1701"/>
          <w:tab w:val="left" w:pos="2268"/>
          <w:tab w:val="center" w:pos="4153"/>
          <w:tab w:val="right" w:pos="8306"/>
        </w:tabs>
        <w:spacing w:before="0"/>
        <w:ind w:left="567"/>
        <w:rPr>
          <w:rFonts w:cs="Arial"/>
        </w:rPr>
      </w:pPr>
    </w:p>
    <w:p w14:paraId="46C4FB0B" w14:textId="77777777" w:rsidR="0009227D" w:rsidRPr="0009227D" w:rsidRDefault="0009227D" w:rsidP="0009227D">
      <w:pPr>
        <w:spacing w:before="0"/>
        <w:ind w:left="567"/>
        <w:rPr>
          <w:rFonts w:ascii="Arial Mäori" w:hAnsi="Arial Mäori"/>
        </w:rPr>
      </w:pPr>
      <w:r w:rsidRPr="0009227D">
        <w:rPr>
          <w:rFonts w:ascii="Arial Mäori" w:hAnsi="Arial Mäori" w:cs="Arial"/>
          <w:i/>
          <w:iCs/>
        </w:rPr>
        <w:t xml:space="preserve">Demonstrate in-depth </w:t>
      </w:r>
      <w:r w:rsidRPr="0009227D">
        <w:rPr>
          <w:rFonts w:ascii="Arial Mäori" w:hAnsi="Arial Mäori" w:cs="Arial"/>
          <w:i/>
        </w:rPr>
        <w:t>understanding</w:t>
      </w:r>
      <w:r w:rsidRPr="0009227D">
        <w:rPr>
          <w:rFonts w:ascii="Arial Mäori" w:hAnsi="Arial Mäori" w:cs="Arial"/>
          <w:i/>
          <w:iCs/>
        </w:rPr>
        <w:t xml:space="preserve"> </w:t>
      </w:r>
      <w:r w:rsidRPr="0009227D">
        <w:rPr>
          <w:rFonts w:ascii="Arial Mäori" w:hAnsi="Arial Mäori" w:cs="Arial"/>
          <w:iCs/>
        </w:rPr>
        <w:t xml:space="preserve">involves explaining chemical reactivity. </w:t>
      </w:r>
      <w:r w:rsidRPr="0009227D">
        <w:rPr>
          <w:rFonts w:ascii="Arial Mäori" w:hAnsi="Arial Mäori" w:cs="Arial"/>
        </w:rPr>
        <w:t xml:space="preserve">This requires explanations that use </w:t>
      </w:r>
      <w:r w:rsidRPr="0009227D">
        <w:rPr>
          <w:rFonts w:ascii="Arial Mäori" w:hAnsi="Arial Mäori" w:cs="Arial"/>
          <w:szCs w:val="24"/>
        </w:rPr>
        <w:t>chemistry vocabulary, symbols and conventions</w:t>
      </w:r>
      <w:r w:rsidRPr="0009227D">
        <w:rPr>
          <w:rFonts w:ascii="Arial Mäori" w:hAnsi="Arial Mäori"/>
        </w:rPr>
        <w:t>.</w:t>
      </w:r>
    </w:p>
    <w:p w14:paraId="0DDFADF0" w14:textId="77777777" w:rsidR="0009227D" w:rsidRPr="0009227D" w:rsidRDefault="0009227D" w:rsidP="0009227D">
      <w:pPr>
        <w:tabs>
          <w:tab w:val="center" w:pos="4153"/>
          <w:tab w:val="right" w:pos="8306"/>
        </w:tabs>
        <w:spacing w:before="0"/>
        <w:ind w:left="567"/>
        <w:rPr>
          <w:rFonts w:cs="Arial"/>
        </w:rPr>
      </w:pPr>
    </w:p>
    <w:p w14:paraId="59209AF7" w14:textId="77777777" w:rsidR="0009227D" w:rsidRPr="0009227D" w:rsidRDefault="0009227D" w:rsidP="0009227D">
      <w:pPr>
        <w:tabs>
          <w:tab w:val="left" w:pos="720"/>
          <w:tab w:val="left" w:pos="1701"/>
          <w:tab w:val="left" w:pos="2268"/>
          <w:tab w:val="center" w:pos="4153"/>
          <w:tab w:val="right" w:pos="8306"/>
        </w:tabs>
        <w:spacing w:before="0"/>
        <w:ind w:left="567"/>
        <w:rPr>
          <w:rFonts w:cs="Arial"/>
        </w:rPr>
      </w:pPr>
      <w:r w:rsidRPr="0009227D">
        <w:rPr>
          <w:rFonts w:cs="Arial"/>
          <w:i/>
          <w:iCs/>
        </w:rPr>
        <w:t xml:space="preserve">Demonstrate comprehensive </w:t>
      </w:r>
      <w:r w:rsidRPr="0009227D">
        <w:rPr>
          <w:rFonts w:cs="Arial"/>
          <w:i/>
        </w:rPr>
        <w:t>understanding</w:t>
      </w:r>
      <w:r w:rsidRPr="0009227D">
        <w:rPr>
          <w:rFonts w:cs="Arial"/>
        </w:rPr>
        <w:t xml:space="preserve"> involves elaborating, justifying, relating, evaluating, comparing and contrasting, or analysing chemical reactivity.  This requires the consistent use of chemistry vocabulary, symbols and conventions.</w:t>
      </w:r>
    </w:p>
    <w:p w14:paraId="52E5DA35" w14:textId="77777777" w:rsidR="0009227D" w:rsidRPr="0009227D" w:rsidRDefault="0009227D" w:rsidP="0009227D">
      <w:pPr>
        <w:tabs>
          <w:tab w:val="left" w:pos="720"/>
          <w:tab w:val="left" w:pos="1701"/>
          <w:tab w:val="left" w:pos="2268"/>
          <w:tab w:val="center" w:pos="4153"/>
          <w:tab w:val="right" w:pos="8306"/>
        </w:tabs>
        <w:spacing w:before="0"/>
        <w:ind w:left="567"/>
        <w:rPr>
          <w:rFonts w:cs="Arial"/>
        </w:rPr>
      </w:pPr>
    </w:p>
    <w:p w14:paraId="56F11358" w14:textId="77777777" w:rsidR="0009227D" w:rsidRPr="0009227D" w:rsidRDefault="0009227D" w:rsidP="0009227D">
      <w:pPr>
        <w:keepNext/>
        <w:tabs>
          <w:tab w:val="left" w:pos="567"/>
        </w:tabs>
        <w:spacing w:before="0"/>
        <w:ind w:left="567"/>
        <w:rPr>
          <w:rFonts w:cs="Arial"/>
        </w:rPr>
      </w:pPr>
      <w:r w:rsidRPr="0009227D">
        <w:rPr>
          <w:rFonts w:cs="Arial"/>
          <w:i/>
        </w:rPr>
        <w:t>Chemical reactivity</w:t>
      </w:r>
      <w:r w:rsidRPr="0009227D">
        <w:rPr>
          <w:rFonts w:cs="Arial"/>
        </w:rPr>
        <w:t xml:space="preserve"> is limited to rates of reaction and equilibrium principles.</w:t>
      </w:r>
    </w:p>
    <w:p w14:paraId="79800CFA" w14:textId="77777777" w:rsidR="0009227D" w:rsidRPr="0009227D" w:rsidRDefault="0009227D" w:rsidP="0009227D">
      <w:pPr>
        <w:keepNext/>
        <w:tabs>
          <w:tab w:val="left" w:pos="567"/>
        </w:tabs>
        <w:spacing w:before="0"/>
        <w:ind w:left="567"/>
        <w:rPr>
          <w:rFonts w:cs="Arial"/>
        </w:rPr>
      </w:pPr>
    </w:p>
    <w:p w14:paraId="407ED63F" w14:textId="77777777" w:rsidR="0009227D" w:rsidRPr="0009227D" w:rsidRDefault="0009227D" w:rsidP="0009227D">
      <w:pPr>
        <w:keepNext/>
        <w:numPr>
          <w:ilvl w:val="0"/>
          <w:numId w:val="34"/>
        </w:numPr>
        <w:spacing w:before="0"/>
        <w:rPr>
          <w:rFonts w:cs="Arial"/>
        </w:rPr>
      </w:pPr>
      <w:r w:rsidRPr="0009227D">
        <w:rPr>
          <w:rFonts w:cs="Arial"/>
        </w:rPr>
        <w:t>Rates of reaction involve:</w:t>
      </w:r>
    </w:p>
    <w:p w14:paraId="5CEDF970" w14:textId="77777777" w:rsidR="0009227D" w:rsidRPr="0009227D" w:rsidRDefault="0009227D" w:rsidP="0009227D">
      <w:pPr>
        <w:numPr>
          <w:ilvl w:val="0"/>
          <w:numId w:val="35"/>
        </w:numPr>
        <w:spacing w:before="0"/>
        <w:rPr>
          <w:rFonts w:cs="Arial"/>
        </w:rPr>
      </w:pPr>
      <w:r w:rsidRPr="0009227D">
        <w:rPr>
          <w:rFonts w:cs="Arial"/>
          <w:bCs/>
        </w:rPr>
        <w:t>factors affecting rates of reaction – restricted to changes in concentration, temperature, surface area, and the presence of a catalyst</w:t>
      </w:r>
    </w:p>
    <w:p w14:paraId="308733A0" w14:textId="77777777" w:rsidR="0009227D" w:rsidRPr="0009227D" w:rsidRDefault="0009227D" w:rsidP="0009227D">
      <w:pPr>
        <w:numPr>
          <w:ilvl w:val="0"/>
          <w:numId w:val="35"/>
        </w:numPr>
        <w:spacing w:before="0"/>
        <w:rPr>
          <w:rFonts w:cs="Arial"/>
        </w:rPr>
      </w:pPr>
      <w:r w:rsidRPr="0009227D">
        <w:rPr>
          <w:rFonts w:cs="Arial"/>
          <w:bCs/>
        </w:rPr>
        <w:t>using collision theory to explain the factors (includes activation energy).</w:t>
      </w:r>
    </w:p>
    <w:p w14:paraId="4DD45738" w14:textId="77777777" w:rsidR="0009227D" w:rsidRPr="0009227D" w:rsidRDefault="0009227D" w:rsidP="0009227D">
      <w:pPr>
        <w:keepNext/>
        <w:tabs>
          <w:tab w:val="left" w:pos="567"/>
        </w:tabs>
        <w:spacing w:before="0"/>
        <w:ind w:left="567"/>
        <w:rPr>
          <w:rFonts w:cs="Arial"/>
        </w:rPr>
      </w:pPr>
    </w:p>
    <w:p w14:paraId="6622CDDE" w14:textId="77777777" w:rsidR="0009227D" w:rsidRPr="0009227D" w:rsidRDefault="0009227D" w:rsidP="0009227D">
      <w:pPr>
        <w:keepNext/>
        <w:numPr>
          <w:ilvl w:val="0"/>
          <w:numId w:val="34"/>
        </w:numPr>
        <w:spacing w:before="0"/>
        <w:rPr>
          <w:rFonts w:cs="Arial"/>
        </w:rPr>
      </w:pPr>
      <w:r w:rsidRPr="0009227D">
        <w:rPr>
          <w:rFonts w:cs="Arial"/>
          <w:i/>
          <w:iCs/>
        </w:rPr>
        <w:t xml:space="preserve">Equilibrium principles </w:t>
      </w:r>
      <w:r w:rsidRPr="0009227D">
        <w:rPr>
          <w:rFonts w:cs="Arial"/>
        </w:rPr>
        <w:t>are limited to:</w:t>
      </w:r>
    </w:p>
    <w:p w14:paraId="6040A546" w14:textId="77777777" w:rsidR="0009227D" w:rsidRPr="0009227D" w:rsidRDefault="0009227D" w:rsidP="0009227D">
      <w:pPr>
        <w:numPr>
          <w:ilvl w:val="1"/>
          <w:numId w:val="36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>the dynamic nature of equilibrium</w:t>
      </w:r>
    </w:p>
    <w:p w14:paraId="2B11504A" w14:textId="77777777" w:rsidR="0009227D" w:rsidRPr="0009227D" w:rsidRDefault="0009227D" w:rsidP="0009227D">
      <w:pPr>
        <w:numPr>
          <w:ilvl w:val="1"/>
          <w:numId w:val="36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>the effect of changes in temperature, concentration, pressure, or addition of a catalyst on equilibrium systems</w:t>
      </w:r>
    </w:p>
    <w:p w14:paraId="5241E2E6" w14:textId="77777777" w:rsidR="0009227D" w:rsidRPr="0009227D" w:rsidRDefault="0009227D" w:rsidP="0009227D">
      <w:pPr>
        <w:numPr>
          <w:ilvl w:val="1"/>
          <w:numId w:val="36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>the significance of the equilibrium constant (</w:t>
      </w:r>
      <w:r w:rsidRPr="0009227D">
        <w:rPr>
          <w:rFonts w:ascii="Arial Mäori" w:hAnsi="Arial Mäori"/>
          <w:i/>
        </w:rPr>
        <w:t>K</w:t>
      </w:r>
      <w:r w:rsidRPr="0009227D">
        <w:rPr>
          <w:rFonts w:ascii="Arial Mäori" w:hAnsi="Arial Mäori"/>
          <w:vertAlign w:val="subscript"/>
        </w:rPr>
        <w:t>c</w:t>
      </w:r>
      <w:r w:rsidRPr="0009227D">
        <w:rPr>
          <w:rFonts w:ascii="Arial Mäori" w:hAnsi="Arial Mäori"/>
        </w:rPr>
        <w:t>) for homogeneous systems.  This may involve calculations</w:t>
      </w:r>
    </w:p>
    <w:p w14:paraId="44AA7E5A" w14:textId="77777777" w:rsidR="0009227D" w:rsidRPr="0009227D" w:rsidRDefault="0009227D" w:rsidP="0009227D">
      <w:pPr>
        <w:numPr>
          <w:ilvl w:val="1"/>
          <w:numId w:val="36"/>
        </w:numPr>
        <w:spacing w:before="0"/>
        <w:rPr>
          <w:rFonts w:ascii="Arial Mäori" w:hAnsi="Arial Mäori"/>
          <w:bCs/>
        </w:rPr>
      </w:pPr>
      <w:r w:rsidRPr="0009227D">
        <w:rPr>
          <w:rFonts w:ascii="Arial Mäori" w:hAnsi="Arial Mäori"/>
          <w:bCs/>
        </w:rPr>
        <w:t>the nature of acids and bases in terms of proton transfer</w:t>
      </w:r>
    </w:p>
    <w:p w14:paraId="5BBE12A4" w14:textId="77777777" w:rsidR="0009227D" w:rsidRPr="0009227D" w:rsidRDefault="0009227D" w:rsidP="0009227D">
      <w:pPr>
        <w:numPr>
          <w:ilvl w:val="1"/>
          <w:numId w:val="36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  <w:bCs/>
        </w:rPr>
        <w:t xml:space="preserve">properties of aqueous solutions of strong and weak acids and bases including </w:t>
      </w:r>
      <w:r w:rsidRPr="0009227D">
        <w:rPr>
          <w:rFonts w:ascii="Arial Mäori" w:hAnsi="Arial Mäori"/>
        </w:rPr>
        <w:t>ionic species.  The properties are restricted to conductivity, rate of reaction, and pH</w:t>
      </w:r>
    </w:p>
    <w:p w14:paraId="25DE1684" w14:textId="77777777" w:rsidR="0009227D" w:rsidRPr="0009227D" w:rsidRDefault="0009227D" w:rsidP="0009227D">
      <w:pPr>
        <w:numPr>
          <w:ilvl w:val="1"/>
          <w:numId w:val="36"/>
        </w:num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 xml:space="preserve">calculations involving </w:t>
      </w:r>
      <w:r w:rsidRPr="0009227D">
        <w:rPr>
          <w:rFonts w:ascii="Arial Mäori" w:hAnsi="Arial Mäori"/>
          <w:i/>
        </w:rPr>
        <w:t>K</w:t>
      </w:r>
      <w:r w:rsidRPr="0009227D">
        <w:rPr>
          <w:rFonts w:ascii="Arial Mäori" w:hAnsi="Arial Mäori"/>
          <w:vertAlign w:val="subscript"/>
        </w:rPr>
        <w:t>w</w:t>
      </w:r>
      <w:r w:rsidRPr="0009227D">
        <w:rPr>
          <w:rFonts w:ascii="Arial Mäori" w:hAnsi="Arial Mäori"/>
        </w:rPr>
        <w:t xml:space="preserve"> and pH (restricted to strong acids and bases).</w:t>
      </w:r>
    </w:p>
    <w:p w14:paraId="54127FDF" w14:textId="77777777" w:rsidR="0009227D" w:rsidRPr="0009227D" w:rsidRDefault="0009227D" w:rsidP="0009227D">
      <w:pPr>
        <w:spacing w:before="0"/>
        <w:rPr>
          <w:rFonts w:ascii="Arial Mäori" w:hAnsi="Arial Mäori"/>
        </w:rPr>
      </w:pPr>
    </w:p>
    <w:p w14:paraId="64C07782" w14:textId="77777777" w:rsidR="0009227D" w:rsidRPr="0009227D" w:rsidRDefault="0009227D" w:rsidP="0009227D">
      <w:pPr>
        <w:keepNext/>
        <w:numPr>
          <w:ilvl w:val="0"/>
          <w:numId w:val="34"/>
        </w:numPr>
        <w:spacing w:before="0"/>
        <w:rPr>
          <w:rFonts w:ascii="Arial Mäori" w:hAnsi="Arial Mäori"/>
          <w:color w:val="000000"/>
        </w:rPr>
      </w:pPr>
      <w:r w:rsidRPr="0009227D">
        <w:rPr>
          <w:rFonts w:cs="Arial"/>
        </w:rPr>
        <w:t xml:space="preserve">Assessment Specifications for this achievement standard can be accessed through </w:t>
      </w:r>
      <w:r w:rsidRPr="0009227D">
        <w:rPr>
          <w:rFonts w:cs="Arial"/>
          <w:color w:val="000000"/>
        </w:rPr>
        <w:t>the Chemistry</w:t>
      </w:r>
      <w:r w:rsidRPr="0009227D">
        <w:rPr>
          <w:rFonts w:cs="Arial"/>
          <w:i/>
          <w:color w:val="000000"/>
        </w:rPr>
        <w:t xml:space="preserve"> </w:t>
      </w:r>
      <w:r w:rsidRPr="0009227D">
        <w:rPr>
          <w:rFonts w:cs="Arial"/>
          <w:color w:val="000000"/>
        </w:rPr>
        <w:t xml:space="preserve">Resources page found at </w:t>
      </w:r>
      <w:hyperlink r:id="rId9" w:tooltip="http://www.nzqa.govt.nz/qualifications-standards/qualifications/ncea/ncea-subject-resources/" w:history="1">
        <w:r w:rsidRPr="0009227D">
          <w:rPr>
            <w:rFonts w:cs="Arial"/>
            <w:color w:val="000000"/>
            <w:u w:val="single"/>
            <w:lang w:val="en-GB"/>
          </w:rPr>
          <w:t>http://w</w:t>
        </w:r>
        <w:r w:rsidRPr="0009227D">
          <w:rPr>
            <w:rFonts w:cs="Arial"/>
            <w:color w:val="000000"/>
            <w:u w:val="single"/>
            <w:lang w:val="en-GB"/>
          </w:rPr>
          <w:t>w</w:t>
        </w:r>
        <w:r w:rsidRPr="0009227D">
          <w:rPr>
            <w:rFonts w:cs="Arial"/>
            <w:color w:val="000000"/>
            <w:u w:val="single"/>
            <w:lang w:val="en-GB"/>
          </w:rPr>
          <w:t>w.nzqa.govt.nz/qualifications-standards/qualifications/ncea/ncea-subject-resources/</w:t>
        </w:r>
      </w:hyperlink>
      <w:r w:rsidRPr="0009227D">
        <w:rPr>
          <w:rFonts w:cs="Arial"/>
          <w:color w:val="000000"/>
          <w:lang w:val="en-GB"/>
        </w:rPr>
        <w:t>.</w:t>
      </w:r>
    </w:p>
    <w:p w14:paraId="46B5ACD7" w14:textId="77777777" w:rsidR="0009227D" w:rsidRPr="0009227D" w:rsidRDefault="0009227D" w:rsidP="0009227D">
      <w:pPr>
        <w:keepNext/>
        <w:keepLines/>
        <w:spacing w:before="0"/>
        <w:rPr>
          <w:rFonts w:ascii="Arial Mäori" w:hAnsi="Arial Mäori" w:cs="Arial"/>
          <w:color w:val="000000"/>
          <w:szCs w:val="24"/>
        </w:rPr>
      </w:pPr>
    </w:p>
    <w:p w14:paraId="42B47C30" w14:textId="77777777" w:rsidR="0009227D" w:rsidRPr="0009227D" w:rsidRDefault="0009227D" w:rsidP="0009227D">
      <w:pPr>
        <w:pBdr>
          <w:top w:val="single" w:sz="4" w:space="1" w:color="auto"/>
        </w:pBdr>
        <w:spacing w:before="0"/>
        <w:rPr>
          <w:rFonts w:ascii="Arial Mäori" w:hAnsi="Arial Mäori"/>
        </w:rPr>
      </w:pPr>
    </w:p>
    <w:p w14:paraId="210D0D3D" w14:textId="77777777" w:rsidR="0009227D" w:rsidRPr="0009227D" w:rsidRDefault="0009227D" w:rsidP="0009227D">
      <w:pPr>
        <w:spacing w:before="0"/>
        <w:rPr>
          <w:rFonts w:ascii="Arial Mäori" w:hAnsi="Arial Mäori"/>
          <w:b/>
        </w:rPr>
      </w:pPr>
      <w:r w:rsidRPr="0009227D">
        <w:rPr>
          <w:rFonts w:ascii="Arial Mäori" w:hAnsi="Arial Mäori"/>
          <w:b/>
        </w:rPr>
        <w:t>Replacement Information</w:t>
      </w:r>
    </w:p>
    <w:p w14:paraId="0CC1A1CC" w14:textId="77777777" w:rsidR="0009227D" w:rsidRPr="0009227D" w:rsidRDefault="0009227D" w:rsidP="0009227D">
      <w:pPr>
        <w:spacing w:before="0"/>
        <w:rPr>
          <w:rFonts w:ascii="Arial Mäori" w:hAnsi="Arial Mäori"/>
        </w:rPr>
      </w:pPr>
      <w:r w:rsidRPr="0009227D">
        <w:rPr>
          <w:rFonts w:ascii="Arial Mäori" w:hAnsi="Arial Mäori"/>
        </w:rPr>
        <w:t>This achievement standard replaced AS90310.</w:t>
      </w:r>
    </w:p>
    <w:p w14:paraId="7B68D145" w14:textId="77777777" w:rsidR="0009227D" w:rsidRPr="0009227D" w:rsidRDefault="0009227D" w:rsidP="0009227D">
      <w:pPr>
        <w:spacing w:before="0"/>
        <w:rPr>
          <w:rFonts w:cs="Arial"/>
        </w:rPr>
      </w:pPr>
    </w:p>
    <w:p w14:paraId="7F312CD0" w14:textId="77777777" w:rsidR="0009227D" w:rsidRPr="0009227D" w:rsidRDefault="0009227D" w:rsidP="0009227D">
      <w:pPr>
        <w:keepNext/>
        <w:keepLines/>
        <w:pBdr>
          <w:top w:val="single" w:sz="4" w:space="1" w:color="auto"/>
        </w:pBdr>
        <w:spacing w:before="0"/>
        <w:rPr>
          <w:rFonts w:cs="Arial"/>
        </w:rPr>
      </w:pPr>
    </w:p>
    <w:p w14:paraId="1C91255F" w14:textId="77777777" w:rsidR="0009227D" w:rsidRPr="0009227D" w:rsidRDefault="0009227D" w:rsidP="0009227D">
      <w:pPr>
        <w:keepNext/>
        <w:keepLines/>
        <w:pBdr>
          <w:top w:val="single" w:sz="4" w:space="1" w:color="auto"/>
        </w:pBdr>
        <w:spacing w:before="0"/>
        <w:outlineLvl w:val="4"/>
        <w:rPr>
          <w:rFonts w:ascii="Arial Mäori" w:eastAsia="Calibri" w:hAnsi="Arial Mäori" w:cs="Arial"/>
          <w:b/>
          <w:szCs w:val="24"/>
          <w:lang w:val="en-GB" w:bidi="en-US"/>
        </w:rPr>
      </w:pPr>
      <w:r w:rsidRPr="0009227D">
        <w:rPr>
          <w:rFonts w:ascii="Arial Mäori" w:eastAsia="Calibri" w:hAnsi="Arial Mäori" w:cs="Arial"/>
          <w:b/>
          <w:szCs w:val="24"/>
          <w:lang w:val="en-GB" w:bidi="en-US"/>
        </w:rPr>
        <w:t>Quality Assurance</w:t>
      </w:r>
    </w:p>
    <w:p w14:paraId="07536018" w14:textId="77777777" w:rsidR="0009227D" w:rsidRPr="0009227D" w:rsidRDefault="0009227D" w:rsidP="0009227D">
      <w:pPr>
        <w:keepNext/>
        <w:keepLines/>
        <w:spacing w:before="0"/>
        <w:rPr>
          <w:rFonts w:ascii="Arial Mäori" w:eastAsia="SimSun" w:hAnsi="Arial Mäori" w:cs="Arial"/>
          <w:szCs w:val="24"/>
          <w:lang w:val="en-GB" w:eastAsia="zh-CN" w:bidi="en-US"/>
        </w:rPr>
      </w:pPr>
    </w:p>
    <w:p w14:paraId="249A1D23" w14:textId="77777777" w:rsidR="0009227D" w:rsidRPr="0009227D" w:rsidRDefault="0009227D" w:rsidP="0009227D">
      <w:pPr>
        <w:keepNext/>
        <w:keepLines/>
        <w:numPr>
          <w:ilvl w:val="0"/>
          <w:numId w:val="3"/>
        </w:numPr>
        <w:tabs>
          <w:tab w:val="clear" w:pos="360"/>
          <w:tab w:val="left" w:pos="0"/>
          <w:tab w:val="left" w:pos="567"/>
          <w:tab w:val="left" w:pos="2552"/>
        </w:tabs>
        <w:spacing w:before="0"/>
        <w:ind w:left="567" w:hanging="567"/>
        <w:rPr>
          <w:rFonts w:ascii="Arial Mäori" w:hAnsi="Arial Mäori"/>
        </w:rPr>
      </w:pPr>
      <w:r w:rsidRPr="0009227D">
        <w:rPr>
          <w:rFonts w:ascii="Arial Mäori" w:hAnsi="Arial Mäori"/>
        </w:rPr>
        <w:t>Providers and Industry Training Organisations must have been granted consent to assess by NZQA before they can register credits from assessment against achievement standards.</w:t>
      </w:r>
    </w:p>
    <w:p w14:paraId="475C85D5" w14:textId="77777777" w:rsidR="0009227D" w:rsidRPr="0009227D" w:rsidRDefault="0009227D" w:rsidP="0009227D">
      <w:pPr>
        <w:keepNext/>
        <w:keepLines/>
        <w:tabs>
          <w:tab w:val="left" w:pos="0"/>
          <w:tab w:val="left" w:pos="567"/>
          <w:tab w:val="left" w:pos="2552"/>
        </w:tabs>
        <w:spacing w:before="0"/>
        <w:ind w:left="567" w:hanging="567"/>
        <w:jc w:val="both"/>
        <w:rPr>
          <w:rFonts w:ascii="Arial Mäori" w:hAnsi="Arial Mäori"/>
        </w:rPr>
      </w:pPr>
    </w:p>
    <w:p w14:paraId="4387061C" w14:textId="77777777" w:rsidR="0009227D" w:rsidRPr="0009227D" w:rsidRDefault="0009227D" w:rsidP="0009227D">
      <w:pPr>
        <w:keepNext/>
        <w:keepLines/>
        <w:numPr>
          <w:ilvl w:val="0"/>
          <w:numId w:val="3"/>
        </w:numPr>
        <w:tabs>
          <w:tab w:val="clear" w:pos="360"/>
          <w:tab w:val="left" w:pos="0"/>
          <w:tab w:val="left" w:pos="567"/>
          <w:tab w:val="left" w:pos="2552"/>
        </w:tabs>
        <w:spacing w:before="0"/>
        <w:ind w:left="567" w:hanging="567"/>
        <w:rPr>
          <w:rFonts w:ascii="Arial Mäori" w:hAnsi="Arial Mäori"/>
        </w:rPr>
      </w:pPr>
      <w:r w:rsidRPr="0009227D">
        <w:rPr>
          <w:rFonts w:ascii="Arial Mäori" w:hAnsi="Arial Mäori"/>
        </w:rPr>
        <w:t>Organisations with consent to assess and Industry Training Organisations assessing against achievement standards must engage with the moderation system that applies to those achievement standards.</w:t>
      </w:r>
    </w:p>
    <w:p w14:paraId="2E022FD2" w14:textId="77777777" w:rsidR="0009227D" w:rsidRPr="0009227D" w:rsidRDefault="0009227D" w:rsidP="0009227D">
      <w:pPr>
        <w:keepNext/>
        <w:keepLines/>
        <w:tabs>
          <w:tab w:val="left" w:pos="0"/>
          <w:tab w:val="left" w:pos="567"/>
          <w:tab w:val="left" w:pos="2552"/>
        </w:tabs>
        <w:spacing w:before="0"/>
        <w:rPr>
          <w:rFonts w:ascii="Arial Mäori" w:eastAsia="SimSun" w:hAnsi="Arial Mäori" w:cs="Arial"/>
          <w:szCs w:val="24"/>
          <w:lang w:val="en-GB" w:eastAsia="zh-CN" w:bidi="en-US"/>
        </w:rPr>
      </w:pP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83"/>
      </w:tblGrid>
      <w:tr w:rsidR="0009227D" w:rsidRPr="0009227D" w14:paraId="2D791A15" w14:textId="77777777" w:rsidTr="00B26C3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4F1685A" w14:textId="77777777" w:rsidR="0009227D" w:rsidRPr="0009227D" w:rsidRDefault="0009227D" w:rsidP="0009227D">
            <w:pPr>
              <w:keepNext/>
              <w:keepLines/>
              <w:tabs>
                <w:tab w:val="left" w:pos="567"/>
              </w:tabs>
              <w:spacing w:before="0"/>
              <w:ind w:left="567" w:hanging="567"/>
              <w:rPr>
                <w:rFonts w:ascii="Arial Mäori" w:eastAsia="Calibri" w:hAnsi="Arial Mäori"/>
                <w:lang w:val="en-GB"/>
              </w:rPr>
            </w:pPr>
            <w:r w:rsidRPr="0009227D">
              <w:rPr>
                <w:rFonts w:ascii="Arial Mäori" w:hAnsi="Arial Mäori"/>
                <w:lang w:val="en-GB"/>
              </w:rPr>
              <w:t>Consent and Moderation Requirements (CMR) reference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C3D0F19" w14:textId="77777777" w:rsidR="0009227D" w:rsidRPr="0009227D" w:rsidRDefault="0009227D" w:rsidP="0009227D">
            <w:pPr>
              <w:keepNext/>
              <w:keepLines/>
              <w:tabs>
                <w:tab w:val="left" w:pos="567"/>
              </w:tabs>
              <w:spacing w:before="0"/>
              <w:ind w:left="567" w:hanging="567"/>
              <w:rPr>
                <w:rFonts w:ascii="Arial Mäori" w:eastAsia="Calibri" w:hAnsi="Arial Mäori"/>
                <w:lang w:val="en-GB"/>
              </w:rPr>
            </w:pPr>
            <w:r w:rsidRPr="0009227D">
              <w:rPr>
                <w:rFonts w:ascii="Arial Mäori" w:hAnsi="Arial Mäori"/>
                <w:lang w:val="en-GB"/>
              </w:rPr>
              <w:t>0233</w:t>
            </w:r>
          </w:p>
        </w:tc>
      </w:tr>
    </w:tbl>
    <w:p w14:paraId="19EA75F7" w14:textId="77777777" w:rsidR="0009227D" w:rsidRPr="0009227D" w:rsidRDefault="0009227D" w:rsidP="0009227D">
      <w:pPr>
        <w:keepNext/>
        <w:keepLines/>
        <w:tabs>
          <w:tab w:val="left" w:pos="567"/>
        </w:tabs>
        <w:spacing w:before="0"/>
        <w:ind w:left="567" w:hanging="567"/>
        <w:rPr>
          <w:rFonts w:ascii="Arial Mäori" w:eastAsia="SimSun" w:hAnsi="Arial Mäori" w:cs="Arial"/>
          <w:szCs w:val="24"/>
          <w:lang w:val="en-GB" w:eastAsia="zh-CN" w:bidi="en-US"/>
        </w:rPr>
      </w:pPr>
    </w:p>
    <w:p w14:paraId="52BC5281" w14:textId="77777777" w:rsidR="0009227D" w:rsidRPr="0009227D" w:rsidRDefault="0009227D" w:rsidP="0009227D">
      <w:pPr>
        <w:keepNext/>
        <w:keepLines/>
        <w:spacing w:before="0"/>
        <w:rPr>
          <w:rFonts w:ascii="Arial Mäori" w:hAnsi="Arial Mäori"/>
        </w:rPr>
      </w:pPr>
    </w:p>
    <w:p w14:paraId="1DB60D89" w14:textId="77777777" w:rsidR="0009227D" w:rsidRPr="0009227D" w:rsidRDefault="0009227D" w:rsidP="0009227D"/>
    <w:sectPr w:rsidR="0009227D" w:rsidRPr="0009227D">
      <w:headerReference w:type="even" r:id="rId10"/>
      <w:headerReference w:type="default" r:id="rId11"/>
      <w:footerReference w:type="default" r:id="rId12"/>
      <w:pgSz w:w="11906" w:h="16838" w:code="1"/>
      <w:pgMar w:top="1134" w:right="1134" w:bottom="1134" w:left="1134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F38F" w14:textId="77777777" w:rsidR="00CF0DC7" w:rsidRDefault="00CF0DC7">
      <w:r>
        <w:separator/>
      </w:r>
    </w:p>
  </w:endnote>
  <w:endnote w:type="continuationSeparator" w:id="0">
    <w:p w14:paraId="4116A299" w14:textId="77777777" w:rsidR="00CF0DC7" w:rsidRDefault="00CF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9F79" w14:textId="77777777" w:rsidR="00B26C36" w:rsidRDefault="00B26C36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>SYMBOL 211 \f "Symbol"</w:instrText>
    </w:r>
    <w:r>
      <w:rPr>
        <w:sz w:val="18"/>
      </w:rPr>
      <w:fldChar w:fldCharType="end"/>
    </w:r>
    <w:r>
      <w:rPr>
        <w:sz w:val="18"/>
      </w:rPr>
      <w:t xml:space="preserve">  </w:t>
    </w:r>
    <w:smartTag w:uri="urn:schemas-microsoft-com:office:smarttags" w:element="country-region">
      <w:smartTag w:uri="urn:schemas-microsoft-com:office:smarttags" w:element="City">
        <w:r>
          <w:rPr>
            <w:sz w:val="18"/>
          </w:rPr>
          <w:t>New Zealand</w:t>
        </w:r>
      </w:smartTag>
    </w:smartTag>
    <w:r>
      <w:rPr>
        <w:sz w:val="18"/>
      </w:rPr>
      <w:t xml:space="preserve"> Qualifications Authority </w:t>
    </w:r>
    <w:r>
      <w:rPr>
        <w:sz w:val="18"/>
      </w:rPr>
      <w:fldChar w:fldCharType="begin"/>
    </w:r>
    <w:r>
      <w:rPr>
        <w:sz w:val="18"/>
      </w:rPr>
      <w:instrText>date \@ "yyyy"</w:instrText>
    </w:r>
    <w:r>
      <w:rPr>
        <w:sz w:val="18"/>
      </w:rPr>
      <w:fldChar w:fldCharType="separate"/>
    </w:r>
    <w:r w:rsidR="00EE7AC2">
      <w:rPr>
        <w:noProof/>
        <w:sz w:val="18"/>
      </w:rPr>
      <w:t>2019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2E4C" w14:textId="77777777" w:rsidR="00CF0DC7" w:rsidRDefault="00CF0DC7">
      <w:r>
        <w:separator/>
      </w:r>
    </w:p>
  </w:footnote>
  <w:footnote w:type="continuationSeparator" w:id="0">
    <w:p w14:paraId="11C1BE18" w14:textId="77777777" w:rsidR="00CF0DC7" w:rsidRDefault="00CF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7D4B" w14:textId="77777777" w:rsidR="00B26C36" w:rsidRDefault="00B26C36"/>
  <w:p w14:paraId="02D2955E" w14:textId="77777777" w:rsidR="00B26C36" w:rsidRDefault="00B26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3402"/>
      <w:gridCol w:w="1843"/>
    </w:tblGrid>
    <w:tr w:rsidR="00B26C36" w14:paraId="4F1655CF" w14:textId="77777777">
      <w:tblPrEx>
        <w:tblCellMar>
          <w:top w:w="0" w:type="dxa"/>
          <w:bottom w:w="0" w:type="dxa"/>
        </w:tblCellMar>
      </w:tblPrEx>
      <w:tc>
        <w:tcPr>
          <w:tcW w:w="1384" w:type="dxa"/>
        </w:tcPr>
        <w:p w14:paraId="4A35B4F8" w14:textId="77777777" w:rsidR="00B26C36" w:rsidRDefault="00B26C36">
          <w:pPr>
            <w:rPr>
              <w:b/>
              <w:snapToGrid w:val="0"/>
            </w:rPr>
          </w:pPr>
          <w:r>
            <w:rPr>
              <w:b/>
              <w:snapToGrid w:val="0"/>
            </w:rPr>
            <w:t>Number</w:t>
          </w:r>
        </w:p>
      </w:tc>
      <w:tc>
        <w:tcPr>
          <w:tcW w:w="2054" w:type="dxa"/>
        </w:tcPr>
        <w:p w14:paraId="096C6683" w14:textId="77777777" w:rsidR="00B26C36" w:rsidRDefault="00B26C36" w:rsidP="0009227D">
          <w:pPr>
            <w:rPr>
              <w:snapToGrid w:val="0"/>
            </w:rPr>
          </w:pPr>
          <w:r>
            <w:rPr>
              <w:snapToGrid w:val="0"/>
            </w:rPr>
            <w:t>AS</w:t>
          </w:r>
          <w:r w:rsidR="0009227D">
            <w:rPr>
              <w:snapToGrid w:val="0"/>
            </w:rPr>
            <w:t>91166</w:t>
          </w:r>
        </w:p>
      </w:tc>
      <w:tc>
        <w:tcPr>
          <w:tcW w:w="1490" w:type="dxa"/>
        </w:tcPr>
        <w:p w14:paraId="1EA56FF5" w14:textId="77777777" w:rsidR="00B26C36" w:rsidRDefault="00B26C36">
          <w:pPr>
            <w:rPr>
              <w:snapToGrid w:val="0"/>
            </w:rPr>
          </w:pPr>
          <w:r>
            <w:rPr>
              <w:b/>
              <w:snapToGrid w:val="0"/>
            </w:rPr>
            <w:t>Version</w:t>
          </w:r>
        </w:p>
      </w:tc>
      <w:tc>
        <w:tcPr>
          <w:tcW w:w="3402" w:type="dxa"/>
        </w:tcPr>
        <w:p w14:paraId="4BC4BE9A" w14:textId="77777777" w:rsidR="00B26C36" w:rsidRDefault="0009227D">
          <w:pPr>
            <w:rPr>
              <w:snapToGrid w:val="0"/>
            </w:rPr>
          </w:pPr>
          <w:r>
            <w:rPr>
              <w:snapToGrid w:val="0"/>
            </w:rPr>
            <w:t>2</w:t>
          </w:r>
        </w:p>
      </w:tc>
      <w:tc>
        <w:tcPr>
          <w:tcW w:w="1843" w:type="dxa"/>
        </w:tcPr>
        <w:p w14:paraId="55D1076A" w14:textId="77777777" w:rsidR="00B26C36" w:rsidRDefault="00B26C36">
          <w:pPr>
            <w:jc w:val="right"/>
            <w:rPr>
              <w:snapToGrid w:val="0"/>
            </w:rPr>
          </w:pPr>
          <w:r>
            <w:rPr>
              <w:b/>
              <w:snapToGrid w:val="0"/>
            </w:rPr>
            <w:t>Page</w:t>
          </w:r>
          <w:r>
            <w:rPr>
              <w:snapToGrid w:val="0"/>
            </w:rPr>
            <w:t xml:space="preserve">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>PAGE</w:instrText>
          </w:r>
          <w:r>
            <w:rPr>
              <w:snapToGrid w:val="0"/>
            </w:rPr>
            <w:fldChar w:fldCharType="separate"/>
          </w:r>
          <w:r w:rsidR="00F81526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numpages </w:instrText>
          </w:r>
          <w:r>
            <w:rPr>
              <w:snapToGrid w:val="0"/>
            </w:rPr>
            <w:fldChar w:fldCharType="separate"/>
          </w:r>
          <w:r w:rsidR="00F81526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14:paraId="26E6BA0C" w14:textId="77777777" w:rsidR="00B26C36" w:rsidRDefault="00B26C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440"/>
    <w:multiLevelType w:val="singleLevel"/>
    <w:tmpl w:val="B770B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01AE5"/>
    <w:multiLevelType w:val="hybridMultilevel"/>
    <w:tmpl w:val="08BA25FA"/>
    <w:lvl w:ilvl="0" w:tplc="1860A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1EC2"/>
    <w:multiLevelType w:val="multilevel"/>
    <w:tmpl w:val="99CA5AF0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639"/>
        </w:tabs>
        <w:ind w:left="1639" w:hanging="358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15660FC3"/>
    <w:multiLevelType w:val="multilevel"/>
    <w:tmpl w:val="2772A77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1AE03D66"/>
    <w:multiLevelType w:val="multilevel"/>
    <w:tmpl w:val="2772A77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5" w15:restartNumberingAfterBreak="0">
    <w:nsid w:val="1E3C117B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6" w15:restartNumberingAfterBreak="0">
    <w:nsid w:val="1F8A1CCC"/>
    <w:multiLevelType w:val="multilevel"/>
    <w:tmpl w:val="4B08DD9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7" w15:restartNumberingAfterBreak="0">
    <w:nsid w:val="20EF2CB3"/>
    <w:multiLevelType w:val="hybridMultilevel"/>
    <w:tmpl w:val="3AEA806E"/>
    <w:lvl w:ilvl="0" w:tplc="C838B2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5642"/>
    <w:multiLevelType w:val="multilevel"/>
    <w:tmpl w:val="3AEA806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7F01"/>
    <w:multiLevelType w:val="hybridMultilevel"/>
    <w:tmpl w:val="400C632E"/>
    <w:lvl w:ilvl="0" w:tplc="BA4A56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7A9C"/>
    <w:multiLevelType w:val="hybridMultilevel"/>
    <w:tmpl w:val="6B76FD0A"/>
    <w:lvl w:ilvl="0" w:tplc="56EC24C4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1C2928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F6470"/>
    <w:multiLevelType w:val="multilevel"/>
    <w:tmpl w:val="82E620D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2B964CF1"/>
    <w:multiLevelType w:val="hybridMultilevel"/>
    <w:tmpl w:val="EBC6B7D2"/>
    <w:lvl w:ilvl="0" w:tplc="89786972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17A15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321E5EF5"/>
    <w:multiLevelType w:val="multilevel"/>
    <w:tmpl w:val="D4FA18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33A91B9D"/>
    <w:multiLevelType w:val="multilevel"/>
    <w:tmpl w:val="82E620D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 w15:restartNumberingAfterBreak="0">
    <w:nsid w:val="35D45136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7" w15:restartNumberingAfterBreak="0">
    <w:nsid w:val="37CE2412"/>
    <w:multiLevelType w:val="multilevel"/>
    <w:tmpl w:val="9E0844B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8" w15:restartNumberingAfterBreak="0">
    <w:nsid w:val="3B5B58C2"/>
    <w:multiLevelType w:val="hybridMultilevel"/>
    <w:tmpl w:val="BD1C8FE2"/>
    <w:lvl w:ilvl="0" w:tplc="39AA82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8600C5A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006B0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0" w15:restartNumberingAfterBreak="0">
    <w:nsid w:val="3C154508"/>
    <w:multiLevelType w:val="multilevel"/>
    <w:tmpl w:val="82E620D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1" w15:restartNumberingAfterBreak="0">
    <w:nsid w:val="44F64C40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2" w15:restartNumberingAfterBreak="0">
    <w:nsid w:val="468F2019"/>
    <w:multiLevelType w:val="multilevel"/>
    <w:tmpl w:val="2772A77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3" w15:restartNumberingAfterBreak="0">
    <w:nsid w:val="48BC0CDB"/>
    <w:multiLevelType w:val="multilevel"/>
    <w:tmpl w:val="08BA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2757"/>
    <w:multiLevelType w:val="multilevel"/>
    <w:tmpl w:val="C53ABD5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5" w15:restartNumberingAfterBreak="0">
    <w:nsid w:val="52B64E79"/>
    <w:multiLevelType w:val="multilevel"/>
    <w:tmpl w:val="2772A77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6" w15:restartNumberingAfterBreak="0">
    <w:nsid w:val="53DA0F05"/>
    <w:multiLevelType w:val="multilevel"/>
    <w:tmpl w:val="2772A77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7" w15:restartNumberingAfterBreak="0">
    <w:nsid w:val="56E2531A"/>
    <w:multiLevelType w:val="multilevel"/>
    <w:tmpl w:val="D4FA18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8" w15:restartNumberingAfterBreak="0">
    <w:nsid w:val="628A10F3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9" w15:restartNumberingAfterBreak="0">
    <w:nsid w:val="662B3C31"/>
    <w:multiLevelType w:val="multilevel"/>
    <w:tmpl w:val="82E620D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0" w15:restartNumberingAfterBreak="0">
    <w:nsid w:val="74A93CC1"/>
    <w:multiLevelType w:val="multilevel"/>
    <w:tmpl w:val="2772A772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058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1" w15:restartNumberingAfterBreak="0">
    <w:nsid w:val="74EC4B93"/>
    <w:multiLevelType w:val="multilevel"/>
    <w:tmpl w:val="82E620D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2" w15:restartNumberingAfterBreak="0">
    <w:nsid w:val="75725AC3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3" w15:restartNumberingAfterBreak="0">
    <w:nsid w:val="771832C3"/>
    <w:multiLevelType w:val="multilevel"/>
    <w:tmpl w:val="5AF03B5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4" w15:restartNumberingAfterBreak="0">
    <w:nsid w:val="78F35658"/>
    <w:multiLevelType w:val="hybridMultilevel"/>
    <w:tmpl w:val="90F693D2"/>
    <w:lvl w:ilvl="0" w:tplc="9C9A46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28"/>
  </w:num>
  <w:num w:numId="3">
    <w:abstractNumId w:val="0"/>
  </w:num>
  <w:num w:numId="4">
    <w:abstractNumId w:val="15"/>
  </w:num>
  <w:num w:numId="5">
    <w:abstractNumId w:val="24"/>
  </w:num>
  <w:num w:numId="6">
    <w:abstractNumId w:val="19"/>
  </w:num>
  <w:num w:numId="7">
    <w:abstractNumId w:val="32"/>
  </w:num>
  <w:num w:numId="8">
    <w:abstractNumId w:val="29"/>
  </w:num>
  <w:num w:numId="9">
    <w:abstractNumId w:val="20"/>
  </w:num>
  <w:num w:numId="10">
    <w:abstractNumId w:val="16"/>
  </w:num>
  <w:num w:numId="11">
    <w:abstractNumId w:val="5"/>
  </w:num>
  <w:num w:numId="12">
    <w:abstractNumId w:val="13"/>
  </w:num>
  <w:num w:numId="13">
    <w:abstractNumId w:val="21"/>
  </w:num>
  <w:num w:numId="14">
    <w:abstractNumId w:val="33"/>
  </w:num>
  <w:num w:numId="15">
    <w:abstractNumId w:val="11"/>
  </w:num>
  <w:num w:numId="16">
    <w:abstractNumId w:val="2"/>
  </w:num>
  <w:num w:numId="17">
    <w:abstractNumId w:val="27"/>
  </w:num>
  <w:num w:numId="18">
    <w:abstractNumId w:val="31"/>
  </w:num>
  <w:num w:numId="19">
    <w:abstractNumId w:val="14"/>
  </w:num>
  <w:num w:numId="20">
    <w:abstractNumId w:val="6"/>
  </w:num>
  <w:num w:numId="21">
    <w:abstractNumId w:val="17"/>
  </w:num>
  <w:num w:numId="22">
    <w:abstractNumId w:val="25"/>
  </w:num>
  <w:num w:numId="23">
    <w:abstractNumId w:val="26"/>
  </w:num>
  <w:num w:numId="24">
    <w:abstractNumId w:val="22"/>
  </w:num>
  <w:num w:numId="25">
    <w:abstractNumId w:val="30"/>
  </w:num>
  <w:num w:numId="26">
    <w:abstractNumId w:val="3"/>
  </w:num>
  <w:num w:numId="27">
    <w:abstractNumId w:val="4"/>
  </w:num>
  <w:num w:numId="28">
    <w:abstractNumId w:val="1"/>
  </w:num>
  <w:num w:numId="29">
    <w:abstractNumId w:val="23"/>
  </w:num>
  <w:num w:numId="30">
    <w:abstractNumId w:val="7"/>
  </w:num>
  <w:num w:numId="31">
    <w:abstractNumId w:val="8"/>
  </w:num>
  <w:num w:numId="32">
    <w:abstractNumId w:val="34"/>
  </w:num>
  <w:num w:numId="33">
    <w:abstractNumId w:val="9"/>
  </w:num>
  <w:num w:numId="34">
    <w:abstractNumId w:val="10"/>
  </w:num>
  <w:num w:numId="35">
    <w:abstractNumId w:val="12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7D"/>
    <w:rsid w:val="0009227D"/>
    <w:rsid w:val="005A01C9"/>
    <w:rsid w:val="00601FB1"/>
    <w:rsid w:val="009F034D"/>
    <w:rsid w:val="00B26C36"/>
    <w:rsid w:val="00CF0DC7"/>
    <w:rsid w:val="00EE7AC2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662D12"/>
  <w15:chartTrackingRefBased/>
  <w15:docId w15:val="{1CA31A93-5770-4929-AFBB-4364B55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Mäori" w:hAnsi="Arial Mäori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right="-1"/>
      <w:outlineLvl w:val="2"/>
    </w:pPr>
    <w:rPr>
      <w:rFonts w:ascii="Arial Mäori" w:hAnsi="Arial Mäori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spacing w:before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0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hievementStandardHeader">
    <w:name w:val="Achievement Standard Header"/>
    <w:basedOn w:val="Norma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oa.tki.org.nz/Te-Marautanga-o-Aotearoa/Taumata-Matauranga-a-Motu-Ka-Ta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niorsecondary.tki.org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/qualifications-standards/qualifications/ncea/ncea-subject-resource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t\MSOFFICE\TEMPLATE\FIM%20Standard%20Templates\Achievement%20Standard%20-%20Registered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Achievement Standard - Registered - English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Standard</vt:lpstr>
    </vt:vector>
  </TitlesOfParts>
  <Manager/>
  <Company/>
  <LinksUpToDate>false</LinksUpToDate>
  <CharactersWithSpaces>4044</CharactersWithSpaces>
  <SharedDoc>false</SharedDoc>
  <HyperlinkBase/>
  <HLinks>
    <vt:vector size="18" baseType="variant"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http://www.nzqa.govt.nz/qualifications-standards/qualifications/ncea/ncea-subject-resources/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http://tmoa.tki.org.nz/Te-Marautanga-o-Aotearoa/Taumata-Matauranga-a-Motu-Ka-Taea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Standard</dc:title>
  <dc:subject/>
  <dc:creator>Alasdair Shariff</dc:creator>
  <cp:keywords/>
  <dc:description/>
  <cp:lastModifiedBy>McMahon, Michele</cp:lastModifiedBy>
  <cp:revision>2</cp:revision>
  <cp:lastPrinted>2019-11-03T20:54:00Z</cp:lastPrinted>
  <dcterms:created xsi:type="dcterms:W3CDTF">2019-11-03T20:54:00Z</dcterms:created>
  <dcterms:modified xsi:type="dcterms:W3CDTF">2019-11-03T20:54:00Z</dcterms:modified>
  <cp:category>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AchNonMathReg</vt:lpwstr>
  </property>
  <property fmtid="{D5CDD505-2E9C-101B-9397-08002B2CF9AE}" pid="3" name="_TemplateVersion">
    <vt:i4>1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