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709D" w14:textId="77777777" w:rsidR="00000000" w:rsidRPr="00E360CC" w:rsidRDefault="0093292E" w:rsidP="0093292E">
      <w:pPr>
        <w:jc w:val="center"/>
        <w:rPr>
          <w:sz w:val="28"/>
          <w:szCs w:val="28"/>
        </w:rPr>
      </w:pPr>
      <w:r w:rsidRPr="00E360CC">
        <w:rPr>
          <w:color w:val="FF0000"/>
          <w:sz w:val="28"/>
          <w:szCs w:val="28"/>
        </w:rPr>
        <w:t>ANSWERS</w:t>
      </w:r>
      <w:r w:rsidRPr="00E360CC">
        <w:rPr>
          <w:sz w:val="28"/>
          <w:szCs w:val="28"/>
        </w:rPr>
        <w:t>: Atomic and Ionic Radii</w:t>
      </w:r>
    </w:p>
    <w:p w14:paraId="53593B0F" w14:textId="633D9F69" w:rsidR="0023338E" w:rsidRDefault="0023338E" w:rsidP="0093292E">
      <w:pPr>
        <w:rPr>
          <w:b/>
        </w:rPr>
      </w:pPr>
    </w:p>
    <w:p w14:paraId="4093FA7D" w14:textId="32C5D1B2" w:rsidR="000B53F2" w:rsidRPr="000B53F2" w:rsidRDefault="000B53F2" w:rsidP="0093292E">
      <w:pPr>
        <w:rPr>
          <w:b/>
          <w:sz w:val="20"/>
          <w:szCs w:val="20"/>
        </w:rPr>
      </w:pPr>
      <w:r w:rsidRPr="000B53F2">
        <w:rPr>
          <w:b/>
          <w:sz w:val="20"/>
          <w:szCs w:val="20"/>
        </w:rPr>
        <w:t>2022</w:t>
      </w:r>
    </w:p>
    <w:p w14:paraId="2B6E8B06" w14:textId="5E3069E6" w:rsidR="000B53F2" w:rsidRDefault="000B53F2" w:rsidP="0093292E">
      <w:pPr>
        <w:rPr>
          <w:b/>
        </w:rPr>
      </w:pPr>
      <w:r>
        <w:rPr>
          <w:noProof/>
        </w:rPr>
        <w:drawing>
          <wp:inline distT="0" distB="0" distL="0" distR="0" wp14:anchorId="025B93C5" wp14:editId="37B8A07A">
            <wp:extent cx="7402285" cy="984281"/>
            <wp:effectExtent l="0" t="0" r="8255" b="6350"/>
            <wp:docPr id="7980108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01082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8999" cy="99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9D6E3" w14:textId="77777777" w:rsidR="000B53F2" w:rsidRPr="000B53F2" w:rsidRDefault="000B53F2" w:rsidP="0093292E">
      <w:pPr>
        <w:rPr>
          <w:b/>
          <w:sz w:val="20"/>
          <w:szCs w:val="20"/>
        </w:rPr>
      </w:pPr>
    </w:p>
    <w:p w14:paraId="0078D33F" w14:textId="00E7CAA9" w:rsidR="000B53F2" w:rsidRPr="000B53F2" w:rsidRDefault="000B53F2" w:rsidP="0093292E">
      <w:pPr>
        <w:rPr>
          <w:b/>
          <w:sz w:val="20"/>
          <w:szCs w:val="20"/>
        </w:rPr>
      </w:pPr>
      <w:r w:rsidRPr="000B53F2">
        <w:rPr>
          <w:b/>
          <w:sz w:val="20"/>
          <w:szCs w:val="20"/>
        </w:rPr>
        <w:t>2021</w:t>
      </w:r>
    </w:p>
    <w:p w14:paraId="2A9D1231" w14:textId="5A885A73" w:rsidR="000B53F2" w:rsidRDefault="000B53F2" w:rsidP="0093292E">
      <w:pPr>
        <w:rPr>
          <w:b/>
        </w:rPr>
      </w:pPr>
      <w:r>
        <w:rPr>
          <w:noProof/>
        </w:rPr>
        <w:drawing>
          <wp:inline distT="0" distB="0" distL="0" distR="0" wp14:anchorId="3C02D10F" wp14:editId="293F9406">
            <wp:extent cx="9214757" cy="1110618"/>
            <wp:effectExtent l="0" t="0" r="5715" b="0"/>
            <wp:docPr id="9219833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8334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85462" cy="111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2FC95" w14:textId="77777777" w:rsidR="000B53F2" w:rsidRDefault="000B53F2" w:rsidP="0093292E">
      <w:pPr>
        <w:rPr>
          <w:b/>
        </w:rPr>
      </w:pPr>
    </w:p>
    <w:p w14:paraId="1DC69DD9" w14:textId="568AE70D" w:rsidR="000B53F2" w:rsidRDefault="000B53F2" w:rsidP="0093292E">
      <w:pPr>
        <w:rPr>
          <w:b/>
          <w:sz w:val="20"/>
          <w:szCs w:val="20"/>
        </w:rPr>
      </w:pPr>
      <w:r w:rsidRPr="000B53F2">
        <w:rPr>
          <w:b/>
          <w:sz w:val="20"/>
          <w:szCs w:val="20"/>
        </w:rPr>
        <w:t>2020</w:t>
      </w:r>
    </w:p>
    <w:p w14:paraId="67813583" w14:textId="76F405A2" w:rsidR="000B53F2" w:rsidRPr="000B53F2" w:rsidRDefault="000B53F2" w:rsidP="0093292E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0A8903E7" wp14:editId="2E74181E">
            <wp:extent cx="6783810" cy="653143"/>
            <wp:effectExtent l="0" t="0" r="0" b="0"/>
            <wp:docPr id="14998556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85564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5947" cy="66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B2781" w14:textId="77777777" w:rsidR="000B53F2" w:rsidRDefault="000B53F2" w:rsidP="0093292E">
      <w:pPr>
        <w:rPr>
          <w:b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80"/>
        <w:gridCol w:w="5564"/>
        <w:gridCol w:w="3650"/>
        <w:gridCol w:w="2443"/>
        <w:gridCol w:w="2972"/>
      </w:tblGrid>
      <w:tr w:rsidR="006C0D5A" w:rsidRPr="002D5512" w14:paraId="22100AC2" w14:textId="77777777" w:rsidTr="006C0D5A">
        <w:trPr>
          <w:cantSplit/>
        </w:trPr>
        <w:tc>
          <w:tcPr>
            <w:tcW w:w="680" w:type="dxa"/>
            <w:vAlign w:val="center"/>
          </w:tcPr>
          <w:p w14:paraId="47258B76" w14:textId="46EDC704" w:rsidR="006C0D5A" w:rsidRPr="002D5512" w:rsidRDefault="006C0D5A" w:rsidP="008B0B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564" w:type="dxa"/>
            <w:vAlign w:val="center"/>
          </w:tcPr>
          <w:p w14:paraId="0664041D" w14:textId="77777777" w:rsidR="006C0D5A" w:rsidRPr="002D5512" w:rsidRDefault="006C0D5A" w:rsidP="008B0BD9">
            <w:pPr>
              <w:jc w:val="center"/>
              <w:rPr>
                <w:b/>
                <w:sz w:val="20"/>
                <w:szCs w:val="20"/>
              </w:rPr>
            </w:pPr>
            <w:r w:rsidRPr="002D5512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650" w:type="dxa"/>
            <w:vAlign w:val="center"/>
          </w:tcPr>
          <w:p w14:paraId="45FE82A2" w14:textId="77777777" w:rsidR="006C0D5A" w:rsidRPr="002D5512" w:rsidRDefault="006C0D5A" w:rsidP="008B0BD9">
            <w:pPr>
              <w:jc w:val="center"/>
              <w:rPr>
                <w:b/>
                <w:sz w:val="20"/>
                <w:szCs w:val="20"/>
              </w:rPr>
            </w:pPr>
            <w:r w:rsidRPr="002D5512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443" w:type="dxa"/>
            <w:vAlign w:val="center"/>
          </w:tcPr>
          <w:p w14:paraId="4FE6603C" w14:textId="77777777" w:rsidR="006C0D5A" w:rsidRPr="002D5512" w:rsidRDefault="006C0D5A" w:rsidP="008B0BD9">
            <w:pPr>
              <w:jc w:val="center"/>
              <w:rPr>
                <w:b/>
                <w:sz w:val="20"/>
                <w:szCs w:val="20"/>
              </w:rPr>
            </w:pPr>
            <w:r w:rsidRPr="002D5512">
              <w:rPr>
                <w:b/>
                <w:sz w:val="20"/>
                <w:szCs w:val="20"/>
              </w:rPr>
              <w:t>Achievement with Merit</w:t>
            </w:r>
          </w:p>
        </w:tc>
        <w:tc>
          <w:tcPr>
            <w:tcW w:w="2972" w:type="dxa"/>
            <w:vAlign w:val="center"/>
          </w:tcPr>
          <w:p w14:paraId="5406C067" w14:textId="77777777" w:rsidR="006C0D5A" w:rsidRPr="002D5512" w:rsidRDefault="006C0D5A" w:rsidP="008B0BD9">
            <w:pPr>
              <w:jc w:val="center"/>
              <w:rPr>
                <w:b/>
                <w:sz w:val="20"/>
                <w:szCs w:val="20"/>
              </w:rPr>
            </w:pPr>
            <w:r w:rsidRPr="002D5512">
              <w:rPr>
                <w:b/>
                <w:sz w:val="20"/>
                <w:szCs w:val="20"/>
              </w:rPr>
              <w:t>Achievement with Excellence</w:t>
            </w:r>
          </w:p>
        </w:tc>
      </w:tr>
      <w:tr w:rsidR="006C0D5A" w:rsidRPr="002D5512" w14:paraId="3D953753" w14:textId="77777777" w:rsidTr="006C0D5A">
        <w:trPr>
          <w:cantSplit/>
        </w:trPr>
        <w:tc>
          <w:tcPr>
            <w:tcW w:w="680" w:type="dxa"/>
            <w:vAlign w:val="center"/>
          </w:tcPr>
          <w:p w14:paraId="5C79780F" w14:textId="77777777" w:rsidR="006C0D5A" w:rsidRDefault="006C0D5A" w:rsidP="008B0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4" w:type="dxa"/>
            <w:vAlign w:val="center"/>
          </w:tcPr>
          <w:p w14:paraId="3AFFD182" w14:textId="6F6799F2" w:rsidR="006C0D5A" w:rsidRPr="006C0D5A" w:rsidRDefault="006C0D5A" w:rsidP="006C0D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C0D5A">
              <w:rPr>
                <w:sz w:val="20"/>
                <w:szCs w:val="20"/>
              </w:rPr>
              <w:t>Sulfur</w:t>
            </w:r>
            <w:proofErr w:type="spellEnd"/>
            <w:r w:rsidRPr="006C0D5A">
              <w:rPr>
                <w:sz w:val="20"/>
                <w:szCs w:val="20"/>
              </w:rPr>
              <w:t xml:space="preserve"> and the </w:t>
            </w:r>
            <w:proofErr w:type="spellStart"/>
            <w:r w:rsidRPr="006C0D5A">
              <w:rPr>
                <w:sz w:val="20"/>
                <w:szCs w:val="20"/>
              </w:rPr>
              <w:t>sulfur</w:t>
            </w:r>
            <w:proofErr w:type="spellEnd"/>
            <w:r w:rsidRPr="006C0D5A">
              <w:rPr>
                <w:sz w:val="20"/>
                <w:szCs w:val="20"/>
              </w:rPr>
              <w:t xml:space="preserve"> ion have the same number of proton/nuclear charge but when the </w:t>
            </w:r>
            <w:proofErr w:type="spellStart"/>
            <w:r w:rsidRPr="006C0D5A">
              <w:rPr>
                <w:sz w:val="20"/>
                <w:szCs w:val="20"/>
              </w:rPr>
              <w:t>sulfur</w:t>
            </w:r>
            <w:proofErr w:type="spellEnd"/>
            <w:r w:rsidRPr="006C0D5A">
              <w:rPr>
                <w:sz w:val="20"/>
                <w:szCs w:val="20"/>
              </w:rPr>
              <w:t xml:space="preserve"> atom gains two electrons to form the </w:t>
            </w:r>
            <w:proofErr w:type="spellStart"/>
            <w:r w:rsidRPr="006C0D5A">
              <w:rPr>
                <w:sz w:val="20"/>
                <w:szCs w:val="20"/>
              </w:rPr>
              <w:t>sulfur</w:t>
            </w:r>
            <w:proofErr w:type="spellEnd"/>
            <w:r w:rsidRPr="006C0D5A">
              <w:rPr>
                <w:sz w:val="20"/>
                <w:szCs w:val="20"/>
              </w:rPr>
              <w:t xml:space="preserve"> ion, there is increased electron-electron repulsion in the valence energy level. As a result, the electrons move further apart, and therefore the S</w:t>
            </w:r>
            <w:r w:rsidRPr="006C0D5A">
              <w:rPr>
                <w:sz w:val="20"/>
                <w:szCs w:val="20"/>
                <w:vertAlign w:val="superscript"/>
              </w:rPr>
              <w:t>2–</w:t>
            </w:r>
            <w:r w:rsidRPr="006C0D5A">
              <w:rPr>
                <w:sz w:val="20"/>
                <w:szCs w:val="20"/>
              </w:rPr>
              <w:t xml:space="preserve"> ion has a larger radius than the S atom.</w:t>
            </w:r>
          </w:p>
        </w:tc>
        <w:tc>
          <w:tcPr>
            <w:tcW w:w="3650" w:type="dxa"/>
            <w:vAlign w:val="center"/>
          </w:tcPr>
          <w:p w14:paraId="784C1656" w14:textId="7741D270" w:rsidR="006C0D5A" w:rsidRPr="006C0D5A" w:rsidRDefault="006C0D5A" w:rsidP="006C0D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D5A">
              <w:rPr>
                <w:sz w:val="20"/>
                <w:szCs w:val="20"/>
              </w:rPr>
              <w:t>Recognises the atom gains</w:t>
            </w:r>
          </w:p>
          <w:p w14:paraId="60F63EF5" w14:textId="149E62D4" w:rsidR="006C0D5A" w:rsidRPr="006C0D5A" w:rsidRDefault="006C0D5A" w:rsidP="006C0D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D5A">
              <w:rPr>
                <w:sz w:val="20"/>
                <w:szCs w:val="20"/>
              </w:rPr>
              <w:t xml:space="preserve">electrons to form ion </w:t>
            </w:r>
            <w:r>
              <w:rPr>
                <w:sz w:val="20"/>
                <w:szCs w:val="20"/>
              </w:rPr>
              <w:t>/ r</w:t>
            </w:r>
            <w:r w:rsidRPr="006C0D5A">
              <w:rPr>
                <w:sz w:val="20"/>
                <w:szCs w:val="20"/>
              </w:rPr>
              <w:t>epulsion increases</w:t>
            </w:r>
          </w:p>
        </w:tc>
        <w:tc>
          <w:tcPr>
            <w:tcW w:w="2443" w:type="dxa"/>
            <w:vAlign w:val="center"/>
          </w:tcPr>
          <w:p w14:paraId="0BD2A9C9" w14:textId="25A72B04" w:rsidR="006C0D5A" w:rsidRPr="002D5512" w:rsidRDefault="006C0D5A" w:rsidP="006C0D5A">
            <w:pPr>
              <w:rPr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Full explanation.</w:t>
            </w:r>
          </w:p>
        </w:tc>
        <w:tc>
          <w:tcPr>
            <w:tcW w:w="2972" w:type="dxa"/>
            <w:vAlign w:val="center"/>
          </w:tcPr>
          <w:p w14:paraId="2BC84895" w14:textId="77777777" w:rsidR="006C0D5A" w:rsidRPr="002D5512" w:rsidRDefault="006C0D5A" w:rsidP="008B0BD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D019045" w14:textId="77777777" w:rsidR="006C0D5A" w:rsidRDefault="006C0D5A" w:rsidP="0093292E">
      <w:pPr>
        <w:rPr>
          <w:b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80"/>
        <w:gridCol w:w="6521"/>
        <w:gridCol w:w="2164"/>
        <w:gridCol w:w="2972"/>
        <w:gridCol w:w="2972"/>
      </w:tblGrid>
      <w:tr w:rsidR="00E360CC" w:rsidRPr="002D5512" w14:paraId="310ACAE5" w14:textId="77777777" w:rsidTr="000B53F2">
        <w:trPr>
          <w:cantSplit/>
        </w:trPr>
        <w:tc>
          <w:tcPr>
            <w:tcW w:w="680" w:type="dxa"/>
            <w:vAlign w:val="center"/>
          </w:tcPr>
          <w:p w14:paraId="213B8A63" w14:textId="77777777" w:rsidR="00E360CC" w:rsidRPr="002D5512" w:rsidRDefault="00E360CC" w:rsidP="00D85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6521" w:type="dxa"/>
            <w:vAlign w:val="center"/>
          </w:tcPr>
          <w:p w14:paraId="0438CCF0" w14:textId="77777777" w:rsidR="00E360CC" w:rsidRPr="002D5512" w:rsidRDefault="00E360CC" w:rsidP="00D855DF">
            <w:pPr>
              <w:jc w:val="center"/>
              <w:rPr>
                <w:b/>
                <w:sz w:val="20"/>
                <w:szCs w:val="20"/>
              </w:rPr>
            </w:pPr>
            <w:r w:rsidRPr="002D5512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164" w:type="dxa"/>
            <w:vAlign w:val="center"/>
          </w:tcPr>
          <w:p w14:paraId="121AC5EB" w14:textId="77777777" w:rsidR="00E360CC" w:rsidRPr="002D5512" w:rsidRDefault="00E360CC" w:rsidP="00D855DF">
            <w:pPr>
              <w:jc w:val="center"/>
              <w:rPr>
                <w:b/>
                <w:sz w:val="20"/>
                <w:szCs w:val="20"/>
              </w:rPr>
            </w:pPr>
            <w:r w:rsidRPr="002D5512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972" w:type="dxa"/>
            <w:vAlign w:val="center"/>
          </w:tcPr>
          <w:p w14:paraId="28277ABA" w14:textId="77777777" w:rsidR="00E360CC" w:rsidRPr="002D5512" w:rsidRDefault="00E360CC" w:rsidP="00D855DF">
            <w:pPr>
              <w:jc w:val="center"/>
              <w:rPr>
                <w:b/>
                <w:sz w:val="20"/>
                <w:szCs w:val="20"/>
              </w:rPr>
            </w:pPr>
            <w:r w:rsidRPr="002D5512">
              <w:rPr>
                <w:b/>
                <w:sz w:val="20"/>
                <w:szCs w:val="20"/>
              </w:rPr>
              <w:t>Achievement with Merit</w:t>
            </w:r>
          </w:p>
        </w:tc>
        <w:tc>
          <w:tcPr>
            <w:tcW w:w="2972" w:type="dxa"/>
            <w:vAlign w:val="center"/>
          </w:tcPr>
          <w:p w14:paraId="0D9BE772" w14:textId="77777777" w:rsidR="00E360CC" w:rsidRPr="002D5512" w:rsidRDefault="00E360CC" w:rsidP="00D855DF">
            <w:pPr>
              <w:jc w:val="center"/>
              <w:rPr>
                <w:b/>
                <w:sz w:val="20"/>
                <w:szCs w:val="20"/>
              </w:rPr>
            </w:pPr>
            <w:r w:rsidRPr="002D5512">
              <w:rPr>
                <w:b/>
                <w:sz w:val="20"/>
                <w:szCs w:val="20"/>
              </w:rPr>
              <w:t>Achievement with Excellence</w:t>
            </w:r>
          </w:p>
        </w:tc>
      </w:tr>
      <w:tr w:rsidR="00E360CC" w:rsidRPr="002D5512" w14:paraId="2B39DAC0" w14:textId="77777777" w:rsidTr="000B53F2">
        <w:trPr>
          <w:cantSplit/>
        </w:trPr>
        <w:tc>
          <w:tcPr>
            <w:tcW w:w="680" w:type="dxa"/>
            <w:vAlign w:val="center"/>
          </w:tcPr>
          <w:p w14:paraId="06167BCD" w14:textId="77777777" w:rsidR="00E360CC" w:rsidRDefault="00E360CC" w:rsidP="00D8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27981B53" w14:textId="77777777" w:rsidR="00E360CC" w:rsidRPr="00E360CC" w:rsidRDefault="00E360CC" w:rsidP="00E360CC">
            <w:pPr>
              <w:pStyle w:val="text"/>
              <w:spacing w:after="0"/>
            </w:pPr>
            <w:r w:rsidRPr="002D5512">
              <w:t>The Cl atom gains one electron to complete its valence shell to form the Cl</w:t>
            </w:r>
            <w:r w:rsidRPr="00604A66">
              <w:rPr>
                <w:vertAlign w:val="superscript"/>
              </w:rPr>
              <w:t>–</w:t>
            </w:r>
            <w:r>
              <w:t xml:space="preserve"> ion, </w:t>
            </w:r>
            <w:r w:rsidRPr="002D5512">
              <w:t>the nuclear charge remains the same.</w:t>
            </w:r>
            <w:r>
              <w:t xml:space="preserve"> The increased inter</w:t>
            </w:r>
            <w:r w:rsidRPr="002D5512">
              <w:t>-electron repulsion in the outer energy level causes the valence electrons to move further from the nucleus, so the Cl</w:t>
            </w:r>
            <w:r w:rsidRPr="00512736">
              <w:rPr>
                <w:vertAlign w:val="superscript"/>
              </w:rPr>
              <w:t>–</w:t>
            </w:r>
            <w:r w:rsidRPr="002D5512">
              <w:t xml:space="preserve"> ion is larger than the Cl atom.</w:t>
            </w:r>
            <w:r>
              <w:t xml:space="preserve"> </w:t>
            </w:r>
          </w:p>
        </w:tc>
        <w:tc>
          <w:tcPr>
            <w:tcW w:w="2164" w:type="dxa"/>
            <w:vAlign w:val="center"/>
          </w:tcPr>
          <w:p w14:paraId="115D0D4E" w14:textId="77777777" w:rsidR="00E360CC" w:rsidRPr="002D5512" w:rsidRDefault="00E360CC" w:rsidP="00E360CC">
            <w:pPr>
              <w:pStyle w:val="textbullet"/>
              <w:spacing w:after="0"/>
            </w:pPr>
            <w:r w:rsidRPr="002D5512">
              <w:t>Cl</w:t>
            </w:r>
            <w:r w:rsidRPr="002D5512">
              <w:rPr>
                <w:vertAlign w:val="superscript"/>
              </w:rPr>
              <w:t>–</w:t>
            </w:r>
            <w:r w:rsidRPr="002D5512">
              <w:t xml:space="preserve"> is larger as it gained an electron when formed / more repulsion.</w:t>
            </w:r>
            <w:r>
              <w:t xml:space="preserve"> </w:t>
            </w:r>
          </w:p>
          <w:p w14:paraId="39D42E1F" w14:textId="77777777" w:rsidR="00E360CC" w:rsidRPr="002D5512" w:rsidRDefault="00E360CC" w:rsidP="00D8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2" w:type="dxa"/>
            <w:vAlign w:val="center"/>
          </w:tcPr>
          <w:p w14:paraId="1BFA2B5D" w14:textId="77777777" w:rsidR="00E360CC" w:rsidRPr="002D5512" w:rsidRDefault="00E360CC" w:rsidP="00E360CC">
            <w:pPr>
              <w:pStyle w:val="textbullet"/>
              <w:spacing w:after="0"/>
            </w:pPr>
            <w:r w:rsidRPr="002D5512">
              <w:t>Full explanation.</w:t>
            </w:r>
            <w:r>
              <w:t xml:space="preserve"> </w:t>
            </w:r>
          </w:p>
          <w:p w14:paraId="675E48ED" w14:textId="77777777" w:rsidR="00E360CC" w:rsidRPr="002D5512" w:rsidRDefault="00E360CC" w:rsidP="00D8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2" w:type="dxa"/>
            <w:vAlign w:val="center"/>
          </w:tcPr>
          <w:p w14:paraId="2720AA81" w14:textId="77777777" w:rsidR="00E360CC" w:rsidRPr="002D5512" w:rsidRDefault="00E360CC" w:rsidP="00D855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60CC" w:rsidRPr="002D5512" w14:paraId="117BC514" w14:textId="77777777" w:rsidTr="000B53F2">
        <w:trPr>
          <w:cantSplit/>
        </w:trPr>
        <w:tc>
          <w:tcPr>
            <w:tcW w:w="680" w:type="dxa"/>
            <w:vAlign w:val="center"/>
          </w:tcPr>
          <w:p w14:paraId="70BC3C3C" w14:textId="03A9FAE3" w:rsidR="00E360CC" w:rsidRPr="002D5512" w:rsidRDefault="00E360CC" w:rsidP="00D85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201</w:t>
            </w:r>
            <w:r w:rsidR="00C17A8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21" w:type="dxa"/>
            <w:vAlign w:val="center"/>
          </w:tcPr>
          <w:p w14:paraId="005FC3B6" w14:textId="77777777" w:rsidR="00E360CC" w:rsidRPr="002D5512" w:rsidRDefault="00E360CC" w:rsidP="00D855DF">
            <w:pPr>
              <w:jc w:val="center"/>
              <w:rPr>
                <w:b/>
                <w:sz w:val="20"/>
                <w:szCs w:val="20"/>
              </w:rPr>
            </w:pPr>
            <w:r w:rsidRPr="002D5512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164" w:type="dxa"/>
            <w:vAlign w:val="center"/>
          </w:tcPr>
          <w:p w14:paraId="74E3BE9B" w14:textId="77777777" w:rsidR="00E360CC" w:rsidRPr="002D5512" w:rsidRDefault="00E360CC" w:rsidP="00D855DF">
            <w:pPr>
              <w:jc w:val="center"/>
              <w:rPr>
                <w:b/>
                <w:sz w:val="20"/>
                <w:szCs w:val="20"/>
              </w:rPr>
            </w:pPr>
            <w:r w:rsidRPr="002D5512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972" w:type="dxa"/>
            <w:vAlign w:val="center"/>
          </w:tcPr>
          <w:p w14:paraId="601447EE" w14:textId="77777777" w:rsidR="00E360CC" w:rsidRPr="002D5512" w:rsidRDefault="00E360CC" w:rsidP="00D855DF">
            <w:pPr>
              <w:jc w:val="center"/>
              <w:rPr>
                <w:b/>
                <w:sz w:val="20"/>
                <w:szCs w:val="20"/>
              </w:rPr>
            </w:pPr>
            <w:r w:rsidRPr="002D5512">
              <w:rPr>
                <w:b/>
                <w:sz w:val="20"/>
                <w:szCs w:val="20"/>
              </w:rPr>
              <w:t>Achievement with Merit</w:t>
            </w:r>
          </w:p>
        </w:tc>
        <w:tc>
          <w:tcPr>
            <w:tcW w:w="2972" w:type="dxa"/>
            <w:vAlign w:val="center"/>
          </w:tcPr>
          <w:p w14:paraId="051854D9" w14:textId="77777777" w:rsidR="00E360CC" w:rsidRPr="002D5512" w:rsidRDefault="00E360CC" w:rsidP="00D855DF">
            <w:pPr>
              <w:jc w:val="center"/>
              <w:rPr>
                <w:b/>
                <w:sz w:val="20"/>
                <w:szCs w:val="20"/>
              </w:rPr>
            </w:pPr>
            <w:r w:rsidRPr="002D5512">
              <w:rPr>
                <w:b/>
                <w:sz w:val="20"/>
                <w:szCs w:val="20"/>
              </w:rPr>
              <w:t>Achievement with Excellence</w:t>
            </w:r>
          </w:p>
        </w:tc>
      </w:tr>
      <w:tr w:rsidR="00E360CC" w:rsidRPr="002D5512" w14:paraId="1CC89BDA" w14:textId="77777777" w:rsidTr="000B53F2">
        <w:trPr>
          <w:cantSplit/>
          <w:trHeight w:val="1675"/>
        </w:trPr>
        <w:tc>
          <w:tcPr>
            <w:tcW w:w="680" w:type="dxa"/>
            <w:vAlign w:val="center"/>
          </w:tcPr>
          <w:p w14:paraId="5444453D" w14:textId="77777777" w:rsidR="00E360CC" w:rsidRDefault="00E360CC" w:rsidP="000B53F2">
            <w:pPr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5A211F1C" w14:textId="77777777" w:rsidR="00E360CC" w:rsidRPr="00E360CC" w:rsidRDefault="00E360CC" w:rsidP="000B53F2">
            <w:pPr>
              <w:pStyle w:val="text"/>
              <w:spacing w:after="0"/>
            </w:pPr>
            <w:r w:rsidRPr="00240781">
              <w:t>The K</w:t>
            </w:r>
            <w:r w:rsidRPr="00240781">
              <w:rPr>
                <w:vertAlign w:val="superscript"/>
              </w:rPr>
              <w:t>+</w:t>
            </w:r>
            <w:r w:rsidRPr="00240781">
              <w:t xml:space="preserve"> ion has a smaller rad</w:t>
            </w:r>
            <w:r>
              <w:t>ius</w:t>
            </w:r>
            <w:r w:rsidRPr="00240781">
              <w:t xml:space="preserve"> than the K atom</w:t>
            </w:r>
            <w:r>
              <w:t>,</w:t>
            </w:r>
            <w:r w:rsidRPr="00240781">
              <w:t xml:space="preserve"> as the ion has lost an electron from the </w:t>
            </w:r>
            <w:r>
              <w:t>valence/outer energy level,</w:t>
            </w:r>
            <w:r w:rsidRPr="00240781">
              <w:t xml:space="preserve"> and therefore has fewer shells. This results in greater attraction between the nucleus and the </w:t>
            </w:r>
            <w:r>
              <w:t xml:space="preserve">valence </w:t>
            </w:r>
            <w:r w:rsidRPr="00240781">
              <w:t>electrons</w:t>
            </w:r>
            <w:r>
              <w:t>,</w:t>
            </w:r>
            <w:r w:rsidRPr="00240781">
              <w:t xml:space="preserve"> as the outer electrons are now closer to the nucleus. </w:t>
            </w:r>
            <w:r>
              <w:t>There is less repulsion between the remaining electrons.  Both species</w:t>
            </w:r>
            <w:r w:rsidRPr="00240781">
              <w:t xml:space="preserve"> have the same number of </w:t>
            </w:r>
            <w:proofErr w:type="gramStart"/>
            <w:r w:rsidRPr="00240781">
              <w:t>protons</w:t>
            </w:r>
            <w:r>
              <w:t xml:space="preserve"> </w:t>
            </w:r>
            <w:r w:rsidRPr="00240781">
              <w:t>/</w:t>
            </w:r>
            <w:r>
              <w:t xml:space="preserve"> </w:t>
            </w:r>
            <w:r w:rsidRPr="00240781">
              <w:t>amount</w:t>
            </w:r>
            <w:proofErr w:type="gramEnd"/>
            <w:r w:rsidRPr="00240781">
              <w:t xml:space="preserve"> of nuclear charge.   </w:t>
            </w:r>
          </w:p>
        </w:tc>
        <w:tc>
          <w:tcPr>
            <w:tcW w:w="2164" w:type="dxa"/>
            <w:vAlign w:val="center"/>
          </w:tcPr>
          <w:p w14:paraId="43B348DE" w14:textId="77777777" w:rsidR="00E360CC" w:rsidRPr="00240781" w:rsidRDefault="00E360CC" w:rsidP="00E360CC">
            <w:pPr>
              <w:pStyle w:val="textbullet"/>
              <w:numPr>
                <w:ilvl w:val="0"/>
                <w:numId w:val="3"/>
              </w:numPr>
              <w:tabs>
                <w:tab w:val="left" w:pos="31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</w:pPr>
            <w:r>
              <w:t>K</w:t>
            </w:r>
            <w:r>
              <w:rPr>
                <w:vertAlign w:val="superscript"/>
              </w:rPr>
              <w:t>+</w:t>
            </w:r>
            <w:r>
              <w:t xml:space="preserve"> is smaller, as it has lost a shell / or other correct statement.</w:t>
            </w:r>
          </w:p>
          <w:p w14:paraId="4FFF425E" w14:textId="77777777" w:rsidR="00E360CC" w:rsidRPr="002D5512" w:rsidRDefault="00E360CC" w:rsidP="00D8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2" w:type="dxa"/>
            <w:vAlign w:val="center"/>
          </w:tcPr>
          <w:p w14:paraId="0EA1E233" w14:textId="77777777" w:rsidR="00E360CC" w:rsidRDefault="00E360CC" w:rsidP="00E360CC">
            <w:pPr>
              <w:pStyle w:val="textbullet"/>
              <w:numPr>
                <w:ilvl w:val="0"/>
                <w:numId w:val="3"/>
              </w:numPr>
              <w:tabs>
                <w:tab w:val="left" w:pos="31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</w:pPr>
            <w:r>
              <w:t>K</w:t>
            </w:r>
            <w:r>
              <w:rPr>
                <w:vertAlign w:val="superscript"/>
              </w:rPr>
              <w:t>+</w:t>
            </w:r>
            <w:r>
              <w:t xml:space="preserve"> is smaller, both species have the same number of protons / charge AND lost a </w:t>
            </w:r>
            <w:proofErr w:type="gramStart"/>
            <w:r>
              <w:t>shell</w:t>
            </w:r>
            <w:proofErr w:type="gramEnd"/>
            <w:r>
              <w:t xml:space="preserve"> </w:t>
            </w:r>
          </w:p>
          <w:p w14:paraId="14DD08E4" w14:textId="23922FBF" w:rsidR="00E360CC" w:rsidRPr="000B53F2" w:rsidRDefault="00E360CC" w:rsidP="000B53F2">
            <w:pPr>
              <w:pStyle w:val="textbullet"/>
              <w:numPr>
                <w:ilvl w:val="0"/>
                <w:numId w:val="0"/>
              </w:numPr>
              <w:ind w:left="196"/>
            </w:pPr>
            <w:r>
              <w:t>OR less electron-electron repulsion linked to a greater attraction in the ion.</w:t>
            </w:r>
          </w:p>
        </w:tc>
        <w:tc>
          <w:tcPr>
            <w:tcW w:w="2972" w:type="dxa"/>
            <w:vAlign w:val="center"/>
          </w:tcPr>
          <w:p w14:paraId="7EAAE086" w14:textId="77777777" w:rsidR="00E360CC" w:rsidRPr="00240781" w:rsidRDefault="00E360CC" w:rsidP="00E360CC">
            <w:pPr>
              <w:pStyle w:val="textbullet"/>
              <w:numPr>
                <w:ilvl w:val="0"/>
                <w:numId w:val="3"/>
              </w:numPr>
              <w:tabs>
                <w:tab w:val="left" w:pos="31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</w:pPr>
            <w:r w:rsidRPr="00240781">
              <w:t>Full explanation</w:t>
            </w:r>
          </w:p>
          <w:p w14:paraId="7C7482BE" w14:textId="77777777" w:rsidR="00E360CC" w:rsidRPr="002D5512" w:rsidRDefault="00E360CC" w:rsidP="00D855D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70FB22A" w14:textId="77777777" w:rsidR="00E360CC" w:rsidRDefault="00E360CC" w:rsidP="009B28A1">
      <w:pPr>
        <w:spacing w:after="60"/>
        <w:rPr>
          <w:b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78"/>
        <w:gridCol w:w="7512"/>
        <w:gridCol w:w="2271"/>
        <w:gridCol w:w="1952"/>
        <w:gridCol w:w="2896"/>
      </w:tblGrid>
      <w:tr w:rsidR="00E360CC" w:rsidRPr="002D5512" w14:paraId="386F2B32" w14:textId="77777777" w:rsidTr="000B53F2">
        <w:trPr>
          <w:cantSplit/>
        </w:trPr>
        <w:tc>
          <w:tcPr>
            <w:tcW w:w="678" w:type="dxa"/>
            <w:vAlign w:val="center"/>
          </w:tcPr>
          <w:p w14:paraId="4E7E07E7" w14:textId="3BE9594C" w:rsidR="00E360CC" w:rsidRDefault="000B53F2" w:rsidP="00D85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7512" w:type="dxa"/>
            <w:vAlign w:val="center"/>
          </w:tcPr>
          <w:p w14:paraId="5401F977" w14:textId="77777777" w:rsidR="00E360CC" w:rsidRPr="00E360CC" w:rsidRDefault="00E360CC" w:rsidP="00E360CC">
            <w:pPr>
              <w:spacing w:after="60"/>
              <w:rPr>
                <w:sz w:val="20"/>
                <w:szCs w:val="20"/>
              </w:rPr>
            </w:pPr>
            <w:r w:rsidRPr="00315AAD">
              <w:rPr>
                <w:sz w:val="20"/>
                <w:szCs w:val="20"/>
              </w:rPr>
              <w:t>Cl</w:t>
            </w:r>
            <w:r w:rsidRPr="00315AAD">
              <w:rPr>
                <w:sz w:val="20"/>
                <w:szCs w:val="20"/>
                <w:vertAlign w:val="superscript"/>
              </w:rPr>
              <w:t>–</w:t>
            </w:r>
            <w:r w:rsidRPr="00315AAD">
              <w:rPr>
                <w:sz w:val="20"/>
                <w:szCs w:val="20"/>
              </w:rPr>
              <w:t xml:space="preserve"> has an extra electron in its outermost/same energy level. This causes increased repulsion between electrons in the valence shell, so the electrons move further apart. This makes Cl</w:t>
            </w:r>
            <w:r w:rsidRPr="00315AAD">
              <w:rPr>
                <w:sz w:val="20"/>
                <w:szCs w:val="20"/>
                <w:vertAlign w:val="superscript"/>
              </w:rPr>
              <w:t>–</w:t>
            </w:r>
            <w:r w:rsidRPr="00315AAD">
              <w:rPr>
                <w:sz w:val="20"/>
                <w:szCs w:val="20"/>
              </w:rPr>
              <w:t xml:space="preserve"> bigger than Cl. Both Cl and Cl</w:t>
            </w:r>
            <w:r w:rsidRPr="00315AAD">
              <w:rPr>
                <w:sz w:val="20"/>
                <w:szCs w:val="20"/>
                <w:vertAlign w:val="superscript"/>
              </w:rPr>
              <w:t>–</w:t>
            </w:r>
            <w:r w:rsidRPr="00315AAD">
              <w:rPr>
                <w:sz w:val="20"/>
                <w:szCs w:val="20"/>
              </w:rPr>
              <w:t xml:space="preserve"> have the same number of protons/attractive force of </w:t>
            </w:r>
            <w:r>
              <w:rPr>
                <w:sz w:val="20"/>
                <w:szCs w:val="20"/>
              </w:rPr>
              <w:t xml:space="preserve">the </w:t>
            </w:r>
            <w:r w:rsidRPr="00315AAD">
              <w:rPr>
                <w:sz w:val="20"/>
                <w:szCs w:val="20"/>
              </w:rPr>
              <w:t>nucleus remains the same.</w:t>
            </w:r>
          </w:p>
        </w:tc>
        <w:tc>
          <w:tcPr>
            <w:tcW w:w="2271" w:type="dxa"/>
            <w:vAlign w:val="center"/>
          </w:tcPr>
          <w:p w14:paraId="6ACC2E2F" w14:textId="77777777" w:rsidR="00E360CC" w:rsidRPr="002D5512" w:rsidRDefault="00E360CC" w:rsidP="00D8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14:paraId="3614A6C1" w14:textId="77777777" w:rsidR="00E360CC" w:rsidRPr="002D5512" w:rsidRDefault="00E360CC" w:rsidP="00D8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14:paraId="514E0052" w14:textId="77777777" w:rsidR="00E360CC" w:rsidRPr="002D5512" w:rsidRDefault="00E360CC" w:rsidP="00D855D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B883CA7" w14:textId="77777777" w:rsidR="00E360CC" w:rsidRDefault="00E360CC" w:rsidP="009B28A1">
      <w:pPr>
        <w:spacing w:after="60"/>
        <w:rPr>
          <w:b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46"/>
        <w:gridCol w:w="7080"/>
        <w:gridCol w:w="4335"/>
        <w:gridCol w:w="1327"/>
        <w:gridCol w:w="1721"/>
      </w:tblGrid>
      <w:tr w:rsidR="00646E45" w:rsidRPr="002D5512" w14:paraId="4180B56E" w14:textId="77777777" w:rsidTr="000B53F2">
        <w:trPr>
          <w:cantSplit/>
        </w:trPr>
        <w:tc>
          <w:tcPr>
            <w:tcW w:w="846" w:type="dxa"/>
            <w:vAlign w:val="center"/>
          </w:tcPr>
          <w:p w14:paraId="7C3FBD84" w14:textId="35251D8F" w:rsidR="00646E45" w:rsidRDefault="000B53F2" w:rsidP="000B53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7080" w:type="dxa"/>
          </w:tcPr>
          <w:p w14:paraId="34567E0B" w14:textId="77777777" w:rsidR="00646E45" w:rsidRPr="00646E45" w:rsidRDefault="00646E45" w:rsidP="00646E45">
            <w:pPr>
              <w:rPr>
                <w:sz w:val="20"/>
                <w:lang w:val="sv-SE"/>
              </w:rPr>
            </w:pPr>
            <w:r w:rsidRPr="00646E45">
              <w:rPr>
                <w:sz w:val="20"/>
                <w:lang w:val="sv-SE"/>
              </w:rPr>
              <w:t>Ge = 123 pm</w:t>
            </w:r>
          </w:p>
          <w:p w14:paraId="752E4708" w14:textId="77777777" w:rsidR="00646E45" w:rsidRPr="00646E45" w:rsidRDefault="00646E45" w:rsidP="00646E45">
            <w:pPr>
              <w:rPr>
                <w:sz w:val="20"/>
                <w:lang w:val="sv-SE"/>
              </w:rPr>
            </w:pPr>
            <w:r w:rsidRPr="00646E45">
              <w:rPr>
                <w:sz w:val="20"/>
                <w:lang w:val="sv-SE"/>
              </w:rPr>
              <w:t>Cu = 128 pm</w:t>
            </w:r>
          </w:p>
          <w:p w14:paraId="0B67F259" w14:textId="77777777" w:rsidR="00646E45" w:rsidRPr="00646E45" w:rsidRDefault="00646E45" w:rsidP="000B53F2">
            <w:pPr>
              <w:rPr>
                <w:sz w:val="20"/>
                <w:lang w:val="sv-SE"/>
              </w:rPr>
            </w:pPr>
            <w:r w:rsidRPr="00646E45">
              <w:rPr>
                <w:sz w:val="20"/>
                <w:lang w:val="sv-SE"/>
              </w:rPr>
              <w:t>Cu</w:t>
            </w:r>
            <w:r w:rsidRPr="00646E45">
              <w:rPr>
                <w:sz w:val="20"/>
                <w:vertAlign w:val="superscript"/>
                <w:lang w:val="sv-SE"/>
              </w:rPr>
              <w:t>+</w:t>
            </w:r>
            <w:r w:rsidRPr="00646E45">
              <w:rPr>
                <w:sz w:val="20"/>
                <w:lang w:val="sv-SE"/>
              </w:rPr>
              <w:t xml:space="preserve"> = 77 pm</w:t>
            </w:r>
          </w:p>
          <w:p w14:paraId="2DC8FE4D" w14:textId="77777777" w:rsidR="00646E45" w:rsidRPr="00646E45" w:rsidRDefault="00646E45" w:rsidP="000B53F2">
            <w:pPr>
              <w:rPr>
                <w:sz w:val="20"/>
              </w:rPr>
            </w:pPr>
            <w:r w:rsidRPr="00646E45">
              <w:rPr>
                <w:sz w:val="20"/>
              </w:rPr>
              <w:t>Both atoms have the same number of electron shells</w:t>
            </w:r>
            <w:r w:rsidRPr="00646E45">
              <w:rPr>
                <w:sz w:val="10"/>
              </w:rPr>
              <w:t xml:space="preserve"> </w:t>
            </w:r>
            <w:r w:rsidRPr="00646E45">
              <w:rPr>
                <w:sz w:val="20"/>
              </w:rPr>
              <w:t>/</w:t>
            </w:r>
            <w:r w:rsidRPr="00646E45">
              <w:rPr>
                <w:sz w:val="10"/>
              </w:rPr>
              <w:t xml:space="preserve"> </w:t>
            </w:r>
            <w:r w:rsidRPr="00646E45">
              <w:rPr>
                <w:sz w:val="20"/>
              </w:rPr>
              <w:t>energy levels /</w:t>
            </w:r>
            <w:r w:rsidRPr="00646E45">
              <w:rPr>
                <w:sz w:val="10"/>
              </w:rPr>
              <w:t xml:space="preserve"> </w:t>
            </w:r>
            <w:r w:rsidRPr="00646E45">
              <w:rPr>
                <w:sz w:val="20"/>
              </w:rPr>
              <w:t>shielding of outer electrons by inner electrons</w:t>
            </w:r>
            <w:r w:rsidRPr="00646E45">
              <w:rPr>
                <w:sz w:val="10"/>
              </w:rPr>
              <w:t xml:space="preserve"> </w:t>
            </w:r>
            <w:r w:rsidRPr="00646E45">
              <w:rPr>
                <w:sz w:val="20"/>
              </w:rPr>
              <w:t>/</w:t>
            </w:r>
            <w:r w:rsidRPr="00646E45">
              <w:rPr>
                <w:sz w:val="10"/>
              </w:rPr>
              <w:t xml:space="preserve"> </w:t>
            </w:r>
            <w:r w:rsidRPr="00646E45">
              <w:rPr>
                <w:sz w:val="20"/>
              </w:rPr>
              <w:t>valence electrons in same energy level. Ge, however, has a greater nuclear charge</w:t>
            </w:r>
            <w:r w:rsidRPr="00646E45">
              <w:rPr>
                <w:sz w:val="10"/>
              </w:rPr>
              <w:t xml:space="preserve"> </w:t>
            </w:r>
            <w:r w:rsidRPr="00646E45">
              <w:rPr>
                <w:sz w:val="20"/>
              </w:rPr>
              <w:t>/</w:t>
            </w:r>
            <w:r w:rsidRPr="00646E45">
              <w:rPr>
                <w:sz w:val="10"/>
              </w:rPr>
              <w:t xml:space="preserve"> </w:t>
            </w:r>
            <w:r w:rsidRPr="00646E45">
              <w:rPr>
                <w:sz w:val="20"/>
              </w:rPr>
              <w:t>number of protons, compared to Cu, so there</w:t>
            </w:r>
            <w:r w:rsidRPr="00646E45">
              <w:rPr>
                <w:sz w:val="14"/>
              </w:rPr>
              <w:t xml:space="preserve"> </w:t>
            </w:r>
            <w:r w:rsidRPr="00646E45">
              <w:rPr>
                <w:sz w:val="20"/>
              </w:rPr>
              <w:t xml:space="preserve">is a stronger attraction for the </w:t>
            </w:r>
            <w:r w:rsidRPr="00646E45">
              <w:rPr>
                <w:b/>
                <w:sz w:val="20"/>
              </w:rPr>
              <w:t>valence electrons</w:t>
            </w:r>
            <w:r w:rsidRPr="00646E45">
              <w:rPr>
                <w:sz w:val="20"/>
              </w:rPr>
              <w:t>, bringing them in closer, resulting in a smaller radius.</w:t>
            </w:r>
          </w:p>
          <w:p w14:paraId="12D08BC5" w14:textId="77777777" w:rsidR="00646E45" w:rsidRPr="00646E45" w:rsidRDefault="00646E45" w:rsidP="000B53F2">
            <w:pPr>
              <w:rPr>
                <w:sz w:val="20"/>
              </w:rPr>
            </w:pPr>
            <w:r w:rsidRPr="00646E45">
              <w:rPr>
                <w:sz w:val="20"/>
              </w:rPr>
              <w:t>Cu</w:t>
            </w:r>
            <w:r w:rsidRPr="00646E45">
              <w:rPr>
                <w:sz w:val="20"/>
                <w:vertAlign w:val="superscript"/>
              </w:rPr>
              <w:t>+</w:t>
            </w:r>
            <w:r w:rsidRPr="00646E45">
              <w:rPr>
                <w:sz w:val="20"/>
              </w:rPr>
              <w:t xml:space="preserve"> has fewer electron shells than the Cu/Ge atoms (only 3 vs 4) and hence the electrons are closer to the nucleus meaning it is the smallest of the three particles.</w:t>
            </w:r>
          </w:p>
          <w:p w14:paraId="658EB618" w14:textId="77777777" w:rsidR="00646E45" w:rsidRPr="00E360CC" w:rsidRDefault="00646E45" w:rsidP="000B53F2">
            <w:pPr>
              <w:pStyle w:val="TextNormal"/>
              <w:spacing w:before="0"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46E45">
              <w:rPr>
                <w:rFonts w:ascii="Times New Roman" w:hAnsi="Times New Roman" w:cs="Times New Roman"/>
                <w:lang w:val="en-NZ"/>
              </w:rPr>
              <w:t>Cu&gt; Ge &gt; Cu</w:t>
            </w:r>
            <w:r w:rsidRPr="00646E45">
              <w:rPr>
                <w:rFonts w:ascii="Times New Roman" w:hAnsi="Times New Roman" w:cs="Times New Roman"/>
                <w:vertAlign w:val="superscript"/>
                <w:lang w:val="en-NZ"/>
              </w:rPr>
              <w:t>+</w:t>
            </w:r>
          </w:p>
        </w:tc>
        <w:tc>
          <w:tcPr>
            <w:tcW w:w="4335" w:type="dxa"/>
          </w:tcPr>
          <w:p w14:paraId="2EEC9308" w14:textId="77777777" w:rsidR="00646E45" w:rsidRPr="00646E45" w:rsidRDefault="00646E45" w:rsidP="00646E45">
            <w:pPr>
              <w:pStyle w:val="bullet"/>
              <w:numPr>
                <w:ilvl w:val="0"/>
                <w:numId w:val="5"/>
              </w:numPr>
              <w:tabs>
                <w:tab w:val="clear" w:pos="0"/>
                <w:tab w:val="num" w:pos="249"/>
              </w:tabs>
              <w:ind w:left="249" w:hanging="180"/>
              <w:rPr>
                <w:sz w:val="20"/>
                <w:szCs w:val="20"/>
              </w:rPr>
            </w:pPr>
            <w:r w:rsidRPr="00646E45">
              <w:rPr>
                <w:sz w:val="20"/>
                <w:szCs w:val="20"/>
              </w:rPr>
              <w:t>Cu =128pm or Cu</w:t>
            </w:r>
            <w:r w:rsidRPr="00646E45">
              <w:rPr>
                <w:sz w:val="20"/>
                <w:szCs w:val="20"/>
                <w:vertAlign w:val="superscript"/>
              </w:rPr>
              <w:t>+</w:t>
            </w:r>
            <w:r w:rsidRPr="00646E45">
              <w:rPr>
                <w:sz w:val="20"/>
                <w:szCs w:val="20"/>
              </w:rPr>
              <w:t xml:space="preserve"> = 77pm.</w:t>
            </w:r>
          </w:p>
          <w:p w14:paraId="44D16B5A" w14:textId="77777777" w:rsidR="00646E45" w:rsidRPr="00646E45" w:rsidRDefault="00646E45" w:rsidP="00646E45">
            <w:pPr>
              <w:pStyle w:val="bullet"/>
              <w:numPr>
                <w:ilvl w:val="0"/>
                <w:numId w:val="5"/>
              </w:numPr>
              <w:tabs>
                <w:tab w:val="clear" w:pos="0"/>
                <w:tab w:val="num" w:pos="249"/>
              </w:tabs>
              <w:ind w:left="249" w:hanging="180"/>
              <w:rPr>
                <w:sz w:val="20"/>
                <w:szCs w:val="20"/>
              </w:rPr>
            </w:pPr>
            <w:r w:rsidRPr="00646E45">
              <w:rPr>
                <w:sz w:val="20"/>
                <w:szCs w:val="20"/>
              </w:rPr>
              <w:t>All radii in correct order.</w:t>
            </w:r>
          </w:p>
          <w:p w14:paraId="3110468B" w14:textId="77777777" w:rsidR="00646E45" w:rsidRPr="00646E45" w:rsidRDefault="00646E45" w:rsidP="00646E45">
            <w:pPr>
              <w:pStyle w:val="bullet"/>
              <w:numPr>
                <w:ilvl w:val="0"/>
                <w:numId w:val="5"/>
              </w:numPr>
              <w:tabs>
                <w:tab w:val="clear" w:pos="0"/>
                <w:tab w:val="num" w:pos="249"/>
              </w:tabs>
              <w:ind w:left="249" w:hanging="180"/>
              <w:rPr>
                <w:sz w:val="20"/>
                <w:szCs w:val="20"/>
              </w:rPr>
            </w:pPr>
            <w:r w:rsidRPr="00646E45">
              <w:rPr>
                <w:sz w:val="20"/>
                <w:szCs w:val="20"/>
              </w:rPr>
              <w:t>Loss of energy level / loss of electron from 4</w:t>
            </w:r>
            <w:r w:rsidRPr="00646E45">
              <w:rPr>
                <w:i/>
                <w:sz w:val="20"/>
                <w:szCs w:val="20"/>
              </w:rPr>
              <w:t>s</w:t>
            </w:r>
            <w:r w:rsidRPr="00646E45">
              <w:rPr>
                <w:sz w:val="20"/>
                <w:szCs w:val="20"/>
              </w:rPr>
              <w:t xml:space="preserve"> orbital for Cu to form Cu</w:t>
            </w:r>
            <w:r w:rsidRPr="00646E45">
              <w:rPr>
                <w:sz w:val="20"/>
                <w:szCs w:val="20"/>
                <w:vertAlign w:val="superscript"/>
              </w:rPr>
              <w:t>+</w:t>
            </w:r>
            <w:r w:rsidRPr="00646E45">
              <w:rPr>
                <w:sz w:val="20"/>
                <w:szCs w:val="20"/>
              </w:rPr>
              <w:t xml:space="preserve"> hence valence electrons much closer to the nucleus.</w:t>
            </w:r>
          </w:p>
          <w:p w14:paraId="586F1D15" w14:textId="77777777" w:rsidR="00646E45" w:rsidRPr="00646E45" w:rsidRDefault="00646E45" w:rsidP="00646E45">
            <w:pPr>
              <w:pStyle w:val="bulletedtext"/>
              <w:numPr>
                <w:ilvl w:val="0"/>
                <w:numId w:val="0"/>
              </w:numPr>
            </w:pPr>
            <w:r w:rsidRPr="00646E45">
              <w:t xml:space="preserve">Recognises smaller radius for Ge, compared to Cu, due to greater electrostatic attraction between nucleus and valence electrons due to fact that: </w:t>
            </w:r>
          </w:p>
          <w:p w14:paraId="6DE76D4D" w14:textId="18F85362" w:rsidR="00646E45" w:rsidRPr="000B53F2" w:rsidRDefault="00646E45" w:rsidP="000B53F2">
            <w:pPr>
              <w:pStyle w:val="bullet"/>
              <w:numPr>
                <w:ilvl w:val="0"/>
                <w:numId w:val="5"/>
              </w:numPr>
              <w:tabs>
                <w:tab w:val="clear" w:pos="0"/>
                <w:tab w:val="num" w:pos="249"/>
              </w:tabs>
              <w:ind w:left="249" w:hanging="180"/>
              <w:rPr>
                <w:sz w:val="20"/>
                <w:szCs w:val="20"/>
              </w:rPr>
            </w:pPr>
            <w:r w:rsidRPr="00646E45">
              <w:rPr>
                <w:sz w:val="20"/>
                <w:szCs w:val="20"/>
              </w:rPr>
              <w:t xml:space="preserve">Ge has </w:t>
            </w:r>
            <w:r w:rsidRPr="000B53F2">
              <w:rPr>
                <w:sz w:val="20"/>
                <w:szCs w:val="20"/>
              </w:rPr>
              <w:t>greater charge / more protons on the nucleus.</w:t>
            </w:r>
            <w:r w:rsidR="000B53F2" w:rsidRPr="000B53F2">
              <w:rPr>
                <w:sz w:val="20"/>
                <w:szCs w:val="20"/>
              </w:rPr>
              <w:t xml:space="preserve"> </w:t>
            </w:r>
            <w:r w:rsidRPr="000B53F2">
              <w:rPr>
                <w:sz w:val="20"/>
                <w:szCs w:val="20"/>
              </w:rPr>
              <w:t>Both Ge and Cu have valence electrons in the same energy level.</w:t>
            </w:r>
          </w:p>
        </w:tc>
        <w:tc>
          <w:tcPr>
            <w:tcW w:w="1327" w:type="dxa"/>
          </w:tcPr>
          <w:p w14:paraId="62591B4E" w14:textId="77777777" w:rsidR="00646E45" w:rsidRPr="00E360CC" w:rsidRDefault="00646E45" w:rsidP="00D855DF">
            <w:pPr>
              <w:pStyle w:val="TextBulleted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1" w:type="dxa"/>
          </w:tcPr>
          <w:p w14:paraId="0F7974C0" w14:textId="77777777" w:rsidR="00646E45" w:rsidRPr="00E360CC" w:rsidRDefault="00646E45" w:rsidP="00D855DF">
            <w:pPr>
              <w:pStyle w:val="TextBulleted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E267328" w14:textId="77777777" w:rsidR="000B53F2" w:rsidRPr="00234956" w:rsidRDefault="000B53F2" w:rsidP="009B28A1">
      <w:pPr>
        <w:spacing w:after="60"/>
        <w:rPr>
          <w:b/>
          <w:sz w:val="16"/>
          <w:szCs w:val="16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50"/>
        <w:gridCol w:w="5217"/>
        <w:gridCol w:w="3260"/>
        <w:gridCol w:w="3260"/>
        <w:gridCol w:w="2722"/>
      </w:tblGrid>
      <w:tr w:rsidR="00646E45" w:rsidRPr="002D5512" w14:paraId="7A4D5592" w14:textId="77777777" w:rsidTr="00646E45">
        <w:trPr>
          <w:cantSplit/>
          <w:trHeight w:val="116"/>
        </w:trPr>
        <w:tc>
          <w:tcPr>
            <w:tcW w:w="850" w:type="dxa"/>
            <w:vAlign w:val="center"/>
          </w:tcPr>
          <w:p w14:paraId="4B016C19" w14:textId="77777777" w:rsidR="00646E45" w:rsidRPr="002D5512" w:rsidRDefault="00646E45" w:rsidP="00D85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5217" w:type="dxa"/>
            <w:vAlign w:val="center"/>
          </w:tcPr>
          <w:p w14:paraId="109CCF3B" w14:textId="77777777" w:rsidR="00646E45" w:rsidRPr="002D5512" w:rsidRDefault="00646E45" w:rsidP="00D855DF">
            <w:pPr>
              <w:jc w:val="center"/>
              <w:rPr>
                <w:b/>
                <w:sz w:val="20"/>
                <w:szCs w:val="20"/>
              </w:rPr>
            </w:pPr>
            <w:r w:rsidRPr="002D5512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260" w:type="dxa"/>
            <w:vAlign w:val="center"/>
          </w:tcPr>
          <w:p w14:paraId="6AC6D43C" w14:textId="77777777" w:rsidR="00646E45" w:rsidRPr="002D5512" w:rsidRDefault="00646E45" w:rsidP="00D855DF">
            <w:pPr>
              <w:jc w:val="center"/>
              <w:rPr>
                <w:b/>
                <w:sz w:val="20"/>
                <w:szCs w:val="20"/>
              </w:rPr>
            </w:pPr>
            <w:r w:rsidRPr="002D5512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3260" w:type="dxa"/>
            <w:vAlign w:val="center"/>
          </w:tcPr>
          <w:p w14:paraId="68C8FEC6" w14:textId="77777777" w:rsidR="00646E45" w:rsidRPr="002D5512" w:rsidRDefault="00646E45" w:rsidP="00D855DF">
            <w:pPr>
              <w:jc w:val="center"/>
              <w:rPr>
                <w:b/>
                <w:sz w:val="20"/>
                <w:szCs w:val="20"/>
              </w:rPr>
            </w:pPr>
            <w:r w:rsidRPr="002D5512">
              <w:rPr>
                <w:b/>
                <w:sz w:val="20"/>
                <w:szCs w:val="20"/>
              </w:rPr>
              <w:t>Achievement with Merit</w:t>
            </w:r>
          </w:p>
        </w:tc>
        <w:tc>
          <w:tcPr>
            <w:tcW w:w="2722" w:type="dxa"/>
            <w:vAlign w:val="center"/>
          </w:tcPr>
          <w:p w14:paraId="01E2F13D" w14:textId="77777777" w:rsidR="00646E45" w:rsidRPr="002D5512" w:rsidRDefault="00646E45" w:rsidP="00D855DF">
            <w:pPr>
              <w:jc w:val="center"/>
              <w:rPr>
                <w:b/>
                <w:sz w:val="20"/>
                <w:szCs w:val="20"/>
              </w:rPr>
            </w:pPr>
            <w:r w:rsidRPr="002D5512">
              <w:rPr>
                <w:b/>
                <w:sz w:val="20"/>
                <w:szCs w:val="20"/>
              </w:rPr>
              <w:t>Achievement with Excellence</w:t>
            </w:r>
          </w:p>
        </w:tc>
      </w:tr>
      <w:tr w:rsidR="00646E45" w:rsidRPr="002D5512" w14:paraId="512C072F" w14:textId="77777777" w:rsidTr="00646E45">
        <w:trPr>
          <w:cantSplit/>
        </w:trPr>
        <w:tc>
          <w:tcPr>
            <w:tcW w:w="850" w:type="dxa"/>
            <w:vAlign w:val="center"/>
          </w:tcPr>
          <w:p w14:paraId="03D8CCE3" w14:textId="77777777" w:rsidR="00646E45" w:rsidRDefault="00646E45" w:rsidP="00D85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7" w:type="dxa"/>
          </w:tcPr>
          <w:p w14:paraId="2F38DAD6" w14:textId="77777777" w:rsidR="00646E45" w:rsidRPr="00646E45" w:rsidRDefault="00646E45" w:rsidP="00646E45">
            <w:pPr>
              <w:rPr>
                <w:sz w:val="20"/>
                <w:szCs w:val="20"/>
              </w:rPr>
            </w:pPr>
            <w:r w:rsidRPr="00646E45">
              <w:rPr>
                <w:sz w:val="20"/>
                <w:szCs w:val="20"/>
              </w:rPr>
              <w:t>Al has the larger radius.</w:t>
            </w:r>
          </w:p>
          <w:p w14:paraId="33300A53" w14:textId="77777777" w:rsidR="00646E45" w:rsidRPr="00646E45" w:rsidRDefault="00646E45" w:rsidP="00646E45">
            <w:pPr>
              <w:pStyle w:val="BULLETED"/>
              <w:spacing w:after="0"/>
            </w:pPr>
            <w:r w:rsidRPr="00646E45">
              <w:t>Al</w:t>
            </w:r>
            <w:r w:rsidRPr="00646E45">
              <w:rPr>
                <w:vertAlign w:val="superscript"/>
              </w:rPr>
              <w:t>3+</w:t>
            </w:r>
            <w:r w:rsidRPr="00646E45">
              <w:t xml:space="preserve"> has lost 3 electrons / valence shell. </w:t>
            </w:r>
          </w:p>
          <w:p w14:paraId="5508F009" w14:textId="77777777" w:rsidR="00646E45" w:rsidRPr="00646E45" w:rsidRDefault="00646E45" w:rsidP="00646E45">
            <w:pPr>
              <w:pStyle w:val="BULLETED"/>
              <w:spacing w:after="0"/>
            </w:pPr>
            <w:r w:rsidRPr="00646E45">
              <w:t xml:space="preserve">This means that there is one less energy level than in Al. </w:t>
            </w:r>
          </w:p>
          <w:p w14:paraId="52ED79F6" w14:textId="77777777" w:rsidR="00646E45" w:rsidRPr="00E360CC" w:rsidRDefault="00646E45" w:rsidP="00646E45">
            <w:pPr>
              <w:pStyle w:val="TextNormal"/>
              <w:spacing w:before="0"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46E45">
              <w:rPr>
                <w:rFonts w:ascii="Times New Roman" w:hAnsi="Times New Roman" w:cs="Times New Roman"/>
              </w:rPr>
              <w:t>The remaining electrons are drawn closer by nuclear charge / nuclear attraction greater causing smaller size.</w:t>
            </w:r>
          </w:p>
        </w:tc>
        <w:tc>
          <w:tcPr>
            <w:tcW w:w="3260" w:type="dxa"/>
          </w:tcPr>
          <w:p w14:paraId="7B6CB365" w14:textId="77777777" w:rsidR="00646E45" w:rsidRPr="00102622" w:rsidRDefault="00646E45" w:rsidP="00646E45">
            <w:pPr>
              <w:rPr>
                <w:sz w:val="20"/>
              </w:rPr>
            </w:pPr>
            <w:r w:rsidRPr="00102622">
              <w:rPr>
                <w:sz w:val="20"/>
              </w:rPr>
              <w:t>Correct radii identified to be largest.</w:t>
            </w:r>
          </w:p>
          <w:p w14:paraId="142B3283" w14:textId="77777777" w:rsidR="00646E45" w:rsidRPr="00102622" w:rsidRDefault="00646E45" w:rsidP="00646E45">
            <w:pPr>
              <w:rPr>
                <w:sz w:val="20"/>
              </w:rPr>
            </w:pPr>
            <w:r w:rsidRPr="00102622">
              <w:rPr>
                <w:sz w:val="20"/>
              </w:rPr>
              <w:t>With one of first two bullet points</w:t>
            </w:r>
            <w:r>
              <w:rPr>
                <w:sz w:val="20"/>
              </w:rPr>
              <w:t>.</w:t>
            </w:r>
          </w:p>
          <w:p w14:paraId="583D9924" w14:textId="77777777" w:rsidR="00646E45" w:rsidRPr="00E360CC" w:rsidRDefault="00646E45" w:rsidP="00D855DF">
            <w:pPr>
              <w:pStyle w:val="TextBulleted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</w:tcPr>
          <w:p w14:paraId="4E28D3D7" w14:textId="77777777" w:rsidR="00646E45" w:rsidRPr="00102622" w:rsidRDefault="00646E45" w:rsidP="00646E45">
            <w:pPr>
              <w:rPr>
                <w:sz w:val="20"/>
              </w:rPr>
            </w:pPr>
            <w:r w:rsidRPr="00102622">
              <w:rPr>
                <w:sz w:val="20"/>
              </w:rPr>
              <w:t>Correct radii identified to be largest</w:t>
            </w:r>
            <w:r>
              <w:rPr>
                <w:sz w:val="20"/>
              </w:rPr>
              <w:t>.</w:t>
            </w:r>
          </w:p>
          <w:p w14:paraId="0F53D02D" w14:textId="77777777" w:rsidR="00646E45" w:rsidRPr="00102622" w:rsidRDefault="00646E45" w:rsidP="00646E45">
            <w:pPr>
              <w:rPr>
                <w:sz w:val="20"/>
              </w:rPr>
            </w:pPr>
            <w:r w:rsidRPr="00102622">
              <w:rPr>
                <w:sz w:val="20"/>
              </w:rPr>
              <w:t xml:space="preserve"> With fully correct explanation</w:t>
            </w:r>
            <w:r>
              <w:rPr>
                <w:sz w:val="20"/>
              </w:rPr>
              <w:t>.</w:t>
            </w:r>
            <w:r w:rsidRPr="00102622">
              <w:rPr>
                <w:sz w:val="20"/>
              </w:rPr>
              <w:t xml:space="preserve"> </w:t>
            </w:r>
          </w:p>
          <w:p w14:paraId="1D66057F" w14:textId="77777777" w:rsidR="00646E45" w:rsidRPr="00E360CC" w:rsidRDefault="00646E45" w:rsidP="00D855DF">
            <w:pPr>
              <w:pStyle w:val="TextBulleted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22" w:type="dxa"/>
          </w:tcPr>
          <w:p w14:paraId="6DEDA6FC" w14:textId="77777777" w:rsidR="00646E45" w:rsidRPr="00E360CC" w:rsidRDefault="00646E45" w:rsidP="00D855DF">
            <w:pPr>
              <w:pStyle w:val="TextBulleted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11C76CF" w14:textId="5EF57076" w:rsidR="00646E45" w:rsidRDefault="00646E45" w:rsidP="009B28A1">
      <w:pPr>
        <w:spacing w:after="60"/>
        <w:rPr>
          <w:b/>
          <w:sz w:val="16"/>
          <w:szCs w:val="16"/>
        </w:rPr>
      </w:pPr>
    </w:p>
    <w:p w14:paraId="70651F73" w14:textId="77777777" w:rsidR="00234956" w:rsidRDefault="00234956"/>
    <w:p w14:paraId="727461E8" w14:textId="5A9B3686" w:rsidR="0093292E" w:rsidRDefault="00D365CB" w:rsidP="0093292E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© </w:t>
      </w:r>
      <w:hyperlink r:id="rId8" w:history="1">
        <w:r w:rsidR="00B454C6" w:rsidRPr="00734DCA">
          <w:rPr>
            <w:rStyle w:val="Hyperlink"/>
            <w:rFonts w:ascii="Times New Roman" w:hAnsi="Times New Roman"/>
            <w:sz w:val="20"/>
            <w:szCs w:val="20"/>
          </w:rPr>
          <w:t>http://www.chemical-minds.com</w:t>
        </w:r>
      </w:hyperlink>
    </w:p>
    <w:p w14:paraId="75DCE71B" w14:textId="77777777" w:rsidR="0093292E" w:rsidRPr="0023338E" w:rsidRDefault="0093292E" w:rsidP="00D365CB">
      <w:pPr>
        <w:jc w:val="right"/>
        <w:rPr>
          <w:sz w:val="20"/>
          <w:szCs w:val="20"/>
        </w:rPr>
      </w:pPr>
      <w:r w:rsidRPr="00C73A3C">
        <w:rPr>
          <w:sz w:val="20"/>
          <w:szCs w:val="20"/>
        </w:rPr>
        <w:t>NCEA questions and answers reproduced with permission from NZQA</w:t>
      </w:r>
    </w:p>
    <w:sectPr w:rsidR="0093292E" w:rsidRPr="0023338E" w:rsidSect="00E360CC">
      <w:pgSz w:w="16838" w:h="11906" w:orient="landscape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94F"/>
    <w:multiLevelType w:val="hybridMultilevel"/>
    <w:tmpl w:val="FD8ED92E"/>
    <w:lvl w:ilvl="0" w:tplc="D0020C1C">
      <w:start w:val="1"/>
      <w:numFmt w:val="bullet"/>
      <w:lvlText w:val="•"/>
      <w:lvlJc w:val="left"/>
      <w:pPr>
        <w:tabs>
          <w:tab w:val="num" w:pos="0"/>
        </w:tabs>
        <w:ind w:left="-170" w:firstLine="170"/>
      </w:pPr>
      <w:rPr>
        <w:rFonts w:ascii="Times New Roman" w:hAnsi="Times New Roman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4CD7"/>
    <w:multiLevelType w:val="hybridMultilevel"/>
    <w:tmpl w:val="BF14FE90"/>
    <w:lvl w:ilvl="0" w:tplc="B476858E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sz w:val="16"/>
      </w:rPr>
    </w:lvl>
    <w:lvl w:ilvl="1" w:tplc="D0020C1C">
      <w:start w:val="1"/>
      <w:numFmt w:val="bullet"/>
      <w:lvlText w:val="•"/>
      <w:lvlJc w:val="left"/>
      <w:pPr>
        <w:tabs>
          <w:tab w:val="num" w:pos="1080"/>
        </w:tabs>
        <w:ind w:left="910" w:firstLine="170"/>
      </w:pPr>
      <w:rPr>
        <w:rFonts w:ascii="Times New Roman" w:hAnsi="Times New Roman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A11B9"/>
    <w:multiLevelType w:val="hybridMultilevel"/>
    <w:tmpl w:val="50C4EFB6"/>
    <w:lvl w:ilvl="0" w:tplc="EC9A6A1A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2F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B80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8B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CEC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8CC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F47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63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DA5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A7B3F"/>
    <w:multiLevelType w:val="hybridMultilevel"/>
    <w:tmpl w:val="93CEB694"/>
    <w:lvl w:ilvl="0" w:tplc="02942B1E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20932"/>
    <w:multiLevelType w:val="hybridMultilevel"/>
    <w:tmpl w:val="99583CEE"/>
    <w:lvl w:ilvl="0" w:tplc="79B6D7C6">
      <w:start w:val="1"/>
      <w:numFmt w:val="bullet"/>
      <w:pStyle w:val="TextBulleted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606D"/>
    <w:multiLevelType w:val="hybridMultilevel"/>
    <w:tmpl w:val="2A0A2ED8"/>
    <w:lvl w:ilvl="0" w:tplc="41A85B84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61AE0"/>
    <w:multiLevelType w:val="hybridMultilevel"/>
    <w:tmpl w:val="5512E752"/>
    <w:lvl w:ilvl="0" w:tplc="C37E66D0">
      <w:start w:val="1"/>
      <w:numFmt w:val="bullet"/>
      <w:pStyle w:val="textbullet"/>
      <w:lvlText w:val=""/>
      <w:lvlJc w:val="left"/>
      <w:pPr>
        <w:ind w:left="890" w:hanging="360"/>
      </w:pPr>
      <w:rPr>
        <w:rFonts w:ascii="Symbol" w:hAnsi="Symbol" w:hint="default"/>
        <w:sz w:val="14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7DCA76DA"/>
    <w:multiLevelType w:val="hybridMultilevel"/>
    <w:tmpl w:val="DAAA45CA"/>
    <w:lvl w:ilvl="0" w:tplc="48566BFA">
      <w:start w:val="1"/>
      <w:numFmt w:val="bullet"/>
      <w:lvlText w:val=""/>
      <w:lvlJc w:val="left"/>
      <w:pPr>
        <w:tabs>
          <w:tab w:val="num" w:pos="1707"/>
        </w:tabs>
        <w:ind w:left="1707" w:hanging="567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540361969">
    <w:abstractNumId w:val="5"/>
  </w:num>
  <w:num w:numId="2" w16cid:durableId="1784377792">
    <w:abstractNumId w:val="6"/>
  </w:num>
  <w:num w:numId="3" w16cid:durableId="292951288">
    <w:abstractNumId w:val="3"/>
  </w:num>
  <w:num w:numId="4" w16cid:durableId="1269699616">
    <w:abstractNumId w:val="4"/>
  </w:num>
  <w:num w:numId="5" w16cid:durableId="252055579">
    <w:abstractNumId w:val="0"/>
  </w:num>
  <w:num w:numId="6" w16cid:durableId="747535327">
    <w:abstractNumId w:val="1"/>
  </w:num>
  <w:num w:numId="7" w16cid:durableId="1519587303">
    <w:abstractNumId w:val="7"/>
  </w:num>
  <w:num w:numId="8" w16cid:durableId="450784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92E"/>
    <w:rsid w:val="000054C4"/>
    <w:rsid w:val="0004442B"/>
    <w:rsid w:val="000A7705"/>
    <w:rsid w:val="000B53F2"/>
    <w:rsid w:val="001E7800"/>
    <w:rsid w:val="001F3090"/>
    <w:rsid w:val="00224ECF"/>
    <w:rsid w:val="0023338E"/>
    <w:rsid w:val="00234956"/>
    <w:rsid w:val="004C76F1"/>
    <w:rsid w:val="005077DB"/>
    <w:rsid w:val="005A5873"/>
    <w:rsid w:val="00646E45"/>
    <w:rsid w:val="006C0D5A"/>
    <w:rsid w:val="00772515"/>
    <w:rsid w:val="0093292E"/>
    <w:rsid w:val="009B28A1"/>
    <w:rsid w:val="009C5A8D"/>
    <w:rsid w:val="00AF6C20"/>
    <w:rsid w:val="00B16F13"/>
    <w:rsid w:val="00B454C6"/>
    <w:rsid w:val="00C17A85"/>
    <w:rsid w:val="00C22A75"/>
    <w:rsid w:val="00D365CB"/>
    <w:rsid w:val="00E360CC"/>
    <w:rsid w:val="00E4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89AA"/>
  <w15:docId w15:val="{FC1DD568-4770-4266-9FBD-6BFB2CF6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92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3292E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3292E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bullet">
    <w:name w:val="bullet"/>
    <w:basedOn w:val="Normal"/>
    <w:rsid w:val="0004442B"/>
    <w:pPr>
      <w:numPr>
        <w:numId w:val="1"/>
      </w:numPr>
    </w:pPr>
    <w:rPr>
      <w:rFonts w:eastAsia="Times New Roman"/>
      <w:lang w:val="en-GB" w:eastAsia="en-GB"/>
    </w:rPr>
  </w:style>
  <w:style w:type="paragraph" w:customStyle="1" w:styleId="BULLETED">
    <w:name w:val="BULLETED"/>
    <w:basedOn w:val="bullet"/>
    <w:rsid w:val="0004442B"/>
    <w:pPr>
      <w:tabs>
        <w:tab w:val="clear" w:pos="360"/>
        <w:tab w:val="num" w:pos="113"/>
      </w:tabs>
      <w:spacing w:after="60"/>
      <w:ind w:left="113" w:hanging="113"/>
    </w:pPr>
    <w:rPr>
      <w:sz w:val="20"/>
    </w:rPr>
  </w:style>
  <w:style w:type="paragraph" w:customStyle="1" w:styleId="TextNormal">
    <w:name w:val="*Text Normal"/>
    <w:rsid w:val="005A5873"/>
    <w:pPr>
      <w:keepNext/>
      <w:keepLines/>
      <w:suppressAutoHyphens/>
      <w:autoSpaceDE w:val="0"/>
      <w:autoSpaceDN w:val="0"/>
      <w:adjustRightInd w:val="0"/>
      <w:spacing w:before="60" w:after="60" w:line="288" w:lineRule="auto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paragraph" w:customStyle="1" w:styleId="text">
    <w:name w:val="text"/>
    <w:basedOn w:val="TextNormal"/>
    <w:qFormat/>
    <w:rsid w:val="00E360CC"/>
    <w:pPr>
      <w:keepNext w:val="0"/>
      <w:keepLines w:val="0"/>
      <w:widowControl w:val="0"/>
      <w:suppressAutoHyphens w:val="0"/>
      <w:spacing w:before="0" w:line="240" w:lineRule="auto"/>
    </w:pPr>
    <w:rPr>
      <w:rFonts w:ascii="Times New Roman" w:hAnsi="Times New Roman"/>
      <w:bCs w:val="0"/>
      <w:szCs w:val="20"/>
    </w:rPr>
  </w:style>
  <w:style w:type="paragraph" w:customStyle="1" w:styleId="textbullet">
    <w:name w:val="text bullet"/>
    <w:basedOn w:val="Normal"/>
    <w:qFormat/>
    <w:rsid w:val="00E360CC"/>
    <w:pPr>
      <w:widowControl w:val="0"/>
      <w:numPr>
        <w:numId w:val="2"/>
      </w:numPr>
      <w:autoSpaceDE w:val="0"/>
      <w:autoSpaceDN w:val="0"/>
      <w:spacing w:after="60"/>
      <w:ind w:left="220" w:hanging="220"/>
    </w:pPr>
    <w:rPr>
      <w:rFonts w:eastAsia="Times New Roman"/>
      <w:sz w:val="20"/>
      <w:szCs w:val="20"/>
      <w:lang w:val="en-AU"/>
    </w:rPr>
  </w:style>
  <w:style w:type="paragraph" w:customStyle="1" w:styleId="TextBulleted">
    <w:name w:val="*Text Bulleted"/>
    <w:basedOn w:val="Normal"/>
    <w:rsid w:val="00E360CC"/>
    <w:pPr>
      <w:numPr>
        <w:numId w:val="4"/>
      </w:numPr>
      <w:tabs>
        <w:tab w:val="clear" w:pos="369"/>
      </w:tabs>
      <w:suppressAutoHyphens/>
      <w:autoSpaceDE w:val="0"/>
      <w:autoSpaceDN w:val="0"/>
      <w:spacing w:before="60" w:after="60" w:line="288" w:lineRule="auto"/>
      <w:ind w:left="176" w:hanging="176"/>
    </w:pPr>
    <w:rPr>
      <w:rFonts w:ascii="Arial" w:eastAsia="Times New Roman" w:hAnsi="Arial" w:cs="Arial"/>
      <w:sz w:val="20"/>
      <w:szCs w:val="22"/>
      <w:lang w:val="en-US"/>
    </w:rPr>
  </w:style>
  <w:style w:type="paragraph" w:styleId="BodyTextIndent">
    <w:name w:val="Body Text Indent"/>
    <w:basedOn w:val="Normal"/>
    <w:link w:val="BodyTextIndentChar"/>
    <w:rsid w:val="00646E45"/>
    <w:pPr>
      <w:spacing w:after="120"/>
      <w:ind w:left="283"/>
    </w:pPr>
    <w:rPr>
      <w:rFonts w:eastAsia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646E45"/>
    <w:rPr>
      <w:rFonts w:eastAsia="Times New Roman"/>
      <w:lang w:val="en-GB" w:eastAsia="en-GB"/>
    </w:rPr>
  </w:style>
  <w:style w:type="paragraph" w:customStyle="1" w:styleId="ilr">
    <w:name w:val="il_r"/>
    <w:basedOn w:val="Normal"/>
    <w:rsid w:val="00646E45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bulletedtext">
    <w:name w:val="bulleted text"/>
    <w:basedOn w:val="BULLETED"/>
    <w:qFormat/>
    <w:rsid w:val="00646E45"/>
    <w:pPr>
      <w:tabs>
        <w:tab w:val="clear" w:pos="113"/>
        <w:tab w:val="num" w:pos="170"/>
      </w:tabs>
      <w:ind w:left="170" w:hanging="170"/>
    </w:pPr>
    <w:rPr>
      <w:szCs w:val="20"/>
    </w:rPr>
  </w:style>
  <w:style w:type="paragraph" w:styleId="Footer">
    <w:name w:val="footer"/>
    <w:basedOn w:val="Normal"/>
    <w:link w:val="FooterChar"/>
    <w:rsid w:val="00646E45"/>
    <w:pPr>
      <w:tabs>
        <w:tab w:val="center" w:pos="4320"/>
        <w:tab w:val="right" w:pos="8640"/>
      </w:tabs>
    </w:pPr>
    <w:rPr>
      <w:rFonts w:eastAsia="Times New Roman"/>
      <w:lang w:val="en-GB" w:eastAsia="en-GB"/>
    </w:rPr>
  </w:style>
  <w:style w:type="character" w:customStyle="1" w:styleId="FooterChar">
    <w:name w:val="Footer Char"/>
    <w:basedOn w:val="DefaultParagraphFont"/>
    <w:link w:val="Footer"/>
    <w:semiHidden/>
    <w:rsid w:val="00646E45"/>
    <w:rPr>
      <w:rFonts w:eastAsia="Times New Roman"/>
      <w:lang w:val="en-GB" w:eastAsia="en-GB"/>
    </w:rPr>
  </w:style>
  <w:style w:type="paragraph" w:customStyle="1" w:styleId="aBodyText10mmhangingBody">
    <w:name w:val="(a) Body Text (10mm hanging) (Body)"/>
    <w:basedOn w:val="Normal"/>
    <w:next w:val="Normal"/>
    <w:rsid w:val="00D365CB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suppressAutoHyphens/>
      <w:autoSpaceDE w:val="0"/>
      <w:autoSpaceDN w:val="0"/>
      <w:adjustRightInd w:val="0"/>
      <w:spacing w:line="288" w:lineRule="auto"/>
      <w:ind w:left="567" w:hanging="567"/>
      <w:textAlignment w:val="center"/>
    </w:pPr>
    <w:rPr>
      <w:rFonts w:ascii="TimesNewRomanPSMT" w:eastAsia="Times New Roman" w:hAnsi="TimesNewRomanPSMT" w:cs="TimesNewRomanPSMT"/>
      <w:color w:val="000000"/>
      <w:lang w:val="en-GB" w:bidi="en-US"/>
    </w:rPr>
  </w:style>
  <w:style w:type="paragraph" w:customStyle="1" w:styleId="bodyindent">
    <w:name w:val="body indent"/>
    <w:basedOn w:val="bullet"/>
    <w:rsid w:val="00D365CB"/>
    <w:pPr>
      <w:numPr>
        <w:numId w:val="0"/>
      </w:numPr>
      <w:ind w:left="170"/>
    </w:pPr>
    <w:rPr>
      <w:sz w:val="20"/>
      <w:lang w:val="en-NZ"/>
    </w:rPr>
  </w:style>
  <w:style w:type="paragraph" w:customStyle="1" w:styleId="tablebullet">
    <w:name w:val="table bullet"/>
    <w:basedOn w:val="Normal"/>
    <w:rsid w:val="00234956"/>
    <w:pPr>
      <w:numPr>
        <w:numId w:val="8"/>
      </w:numPr>
      <w:tabs>
        <w:tab w:val="clear" w:pos="720"/>
        <w:tab w:val="num" w:pos="168"/>
        <w:tab w:val="left" w:pos="7797"/>
      </w:tabs>
      <w:ind w:left="168" w:hanging="142"/>
    </w:pPr>
    <w:rPr>
      <w:rFonts w:ascii="Arial" w:eastAsia="Times New Roman" w:hAnsi="Arial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5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cal-mind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dcterms:created xsi:type="dcterms:W3CDTF">2015-04-15T09:46:00Z</dcterms:created>
  <dcterms:modified xsi:type="dcterms:W3CDTF">2023-10-10T21:55:00Z</dcterms:modified>
</cp:coreProperties>
</file>