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D129" w14:textId="77777777" w:rsidR="00F5537F" w:rsidRPr="005B4123" w:rsidRDefault="00F5537F" w:rsidP="00F5537F">
      <w:pPr>
        <w:jc w:val="center"/>
        <w:rPr>
          <w:rStyle w:val="Strong"/>
          <w:b w:val="0"/>
          <w:sz w:val="28"/>
          <w:szCs w:val="28"/>
        </w:rPr>
      </w:pPr>
      <w:r>
        <w:rPr>
          <w:rStyle w:val="Strong"/>
          <w:sz w:val="32"/>
          <w:szCs w:val="32"/>
        </w:rPr>
        <w:tab/>
      </w:r>
      <w:r w:rsidRPr="005B4123">
        <w:rPr>
          <w:rStyle w:val="Strong"/>
          <w:b w:val="0"/>
          <w:color w:val="FF0000"/>
          <w:sz w:val="28"/>
          <w:szCs w:val="28"/>
        </w:rPr>
        <w:t>ANSWERS:</w:t>
      </w:r>
      <w:r w:rsidRPr="005B4123">
        <w:rPr>
          <w:rStyle w:val="Strong"/>
          <w:b w:val="0"/>
          <w:sz w:val="28"/>
          <w:szCs w:val="28"/>
        </w:rPr>
        <w:t xml:space="preserve"> Electronegativity</w:t>
      </w:r>
    </w:p>
    <w:p w14:paraId="12ECE66F" w14:textId="77777777" w:rsidR="008973ED" w:rsidRDefault="008973ED"/>
    <w:p w14:paraId="3DD004F6" w14:textId="27DA7164" w:rsidR="008973ED" w:rsidRDefault="008973ED">
      <w:pPr>
        <w:rPr>
          <w:b/>
          <w:bCs/>
        </w:rPr>
      </w:pPr>
      <w:r w:rsidRPr="008973ED">
        <w:rPr>
          <w:b/>
          <w:bCs/>
        </w:rPr>
        <w:t>2021</w:t>
      </w:r>
    </w:p>
    <w:p w14:paraId="2C59B479" w14:textId="416C6385" w:rsidR="008973ED" w:rsidRPr="008973ED" w:rsidRDefault="008973ED">
      <w:pPr>
        <w:rPr>
          <w:b/>
          <w:bCs/>
        </w:rPr>
      </w:pPr>
      <w:r>
        <w:rPr>
          <w:noProof/>
        </w:rPr>
        <w:drawing>
          <wp:inline distT="0" distB="0" distL="0" distR="0" wp14:anchorId="7632C825" wp14:editId="25239906">
            <wp:extent cx="9396663" cy="1523718"/>
            <wp:effectExtent l="0" t="0" r="0" b="0"/>
            <wp:docPr id="1588413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413838" name=""/>
                    <pic:cNvPicPr/>
                  </pic:nvPicPr>
                  <pic:blipFill>
                    <a:blip r:embed="rId5"/>
                    <a:stretch>
                      <a:fillRect/>
                    </a:stretch>
                  </pic:blipFill>
                  <pic:spPr>
                    <a:xfrm>
                      <a:off x="0" y="0"/>
                      <a:ext cx="9440279" cy="1530791"/>
                    </a:xfrm>
                    <a:prstGeom prst="rect">
                      <a:avLst/>
                    </a:prstGeom>
                  </pic:spPr>
                </pic:pic>
              </a:graphicData>
            </a:graphic>
          </wp:inline>
        </w:drawing>
      </w:r>
    </w:p>
    <w:p w14:paraId="6F71A484" w14:textId="77777777" w:rsidR="008973ED" w:rsidRDefault="008973ED"/>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80"/>
        <w:gridCol w:w="5564"/>
        <w:gridCol w:w="3225"/>
        <w:gridCol w:w="3118"/>
        <w:gridCol w:w="2722"/>
      </w:tblGrid>
      <w:tr w:rsidR="00B81DB9" w:rsidRPr="002D5512" w14:paraId="1522D864" w14:textId="77777777" w:rsidTr="00B81DB9">
        <w:trPr>
          <w:cantSplit/>
        </w:trPr>
        <w:tc>
          <w:tcPr>
            <w:tcW w:w="680" w:type="dxa"/>
            <w:tcBorders>
              <w:bottom w:val="single" w:sz="4" w:space="0" w:color="auto"/>
            </w:tcBorders>
            <w:vAlign w:val="center"/>
          </w:tcPr>
          <w:p w14:paraId="620A0ABB" w14:textId="3CF984CC" w:rsidR="00B81DB9" w:rsidRPr="002D5512" w:rsidRDefault="00B81DB9" w:rsidP="008B0BD9">
            <w:pPr>
              <w:jc w:val="center"/>
              <w:rPr>
                <w:b/>
                <w:sz w:val="20"/>
                <w:szCs w:val="20"/>
              </w:rPr>
            </w:pPr>
            <w:r>
              <w:rPr>
                <w:b/>
                <w:sz w:val="20"/>
                <w:szCs w:val="20"/>
              </w:rPr>
              <w:t>2019</w:t>
            </w:r>
          </w:p>
        </w:tc>
        <w:tc>
          <w:tcPr>
            <w:tcW w:w="5564" w:type="dxa"/>
            <w:tcBorders>
              <w:bottom w:val="single" w:sz="4" w:space="0" w:color="auto"/>
            </w:tcBorders>
            <w:vAlign w:val="center"/>
          </w:tcPr>
          <w:p w14:paraId="364A9BC6" w14:textId="77777777" w:rsidR="00B81DB9" w:rsidRPr="002D5512" w:rsidRDefault="00B81DB9" w:rsidP="008B0BD9">
            <w:pPr>
              <w:jc w:val="center"/>
              <w:rPr>
                <w:b/>
                <w:sz w:val="20"/>
                <w:szCs w:val="20"/>
              </w:rPr>
            </w:pPr>
            <w:r w:rsidRPr="002D5512">
              <w:rPr>
                <w:b/>
                <w:sz w:val="20"/>
                <w:szCs w:val="20"/>
              </w:rPr>
              <w:t>Evidence</w:t>
            </w:r>
          </w:p>
        </w:tc>
        <w:tc>
          <w:tcPr>
            <w:tcW w:w="3225" w:type="dxa"/>
            <w:tcBorders>
              <w:bottom w:val="single" w:sz="4" w:space="0" w:color="auto"/>
            </w:tcBorders>
            <w:vAlign w:val="center"/>
          </w:tcPr>
          <w:p w14:paraId="6746CDB9" w14:textId="77777777" w:rsidR="00B81DB9" w:rsidRPr="002D5512" w:rsidRDefault="00B81DB9" w:rsidP="008B0BD9">
            <w:pPr>
              <w:jc w:val="center"/>
              <w:rPr>
                <w:b/>
                <w:sz w:val="20"/>
                <w:szCs w:val="20"/>
              </w:rPr>
            </w:pPr>
            <w:r w:rsidRPr="002D5512">
              <w:rPr>
                <w:b/>
                <w:sz w:val="20"/>
                <w:szCs w:val="20"/>
              </w:rPr>
              <w:t>Achievement</w:t>
            </w:r>
          </w:p>
        </w:tc>
        <w:tc>
          <w:tcPr>
            <w:tcW w:w="3118" w:type="dxa"/>
            <w:tcBorders>
              <w:bottom w:val="single" w:sz="4" w:space="0" w:color="auto"/>
            </w:tcBorders>
            <w:vAlign w:val="center"/>
          </w:tcPr>
          <w:p w14:paraId="224F2766" w14:textId="77777777" w:rsidR="00B81DB9" w:rsidRPr="002D5512" w:rsidRDefault="00B81DB9" w:rsidP="008B0BD9">
            <w:pPr>
              <w:jc w:val="center"/>
              <w:rPr>
                <w:b/>
                <w:sz w:val="20"/>
                <w:szCs w:val="20"/>
              </w:rPr>
            </w:pPr>
            <w:r w:rsidRPr="002D5512">
              <w:rPr>
                <w:b/>
                <w:sz w:val="20"/>
                <w:szCs w:val="20"/>
              </w:rPr>
              <w:t>Achievement with Merit</w:t>
            </w:r>
          </w:p>
        </w:tc>
        <w:tc>
          <w:tcPr>
            <w:tcW w:w="2722" w:type="dxa"/>
            <w:tcBorders>
              <w:bottom w:val="single" w:sz="4" w:space="0" w:color="auto"/>
            </w:tcBorders>
            <w:vAlign w:val="center"/>
          </w:tcPr>
          <w:p w14:paraId="51A72AD4" w14:textId="77777777" w:rsidR="00B81DB9" w:rsidRPr="002D5512" w:rsidRDefault="00B81DB9" w:rsidP="008B0BD9">
            <w:pPr>
              <w:jc w:val="center"/>
              <w:rPr>
                <w:b/>
                <w:sz w:val="20"/>
                <w:szCs w:val="20"/>
              </w:rPr>
            </w:pPr>
            <w:r w:rsidRPr="002D5512">
              <w:rPr>
                <w:b/>
                <w:sz w:val="20"/>
                <w:szCs w:val="20"/>
              </w:rPr>
              <w:t>Achievement with Excellence</w:t>
            </w:r>
          </w:p>
        </w:tc>
      </w:tr>
      <w:tr w:rsidR="00B81DB9" w:rsidRPr="002D5512" w14:paraId="00665CBE" w14:textId="77777777" w:rsidTr="00B81DB9">
        <w:trPr>
          <w:cantSplit/>
        </w:trPr>
        <w:tc>
          <w:tcPr>
            <w:tcW w:w="680" w:type="dxa"/>
            <w:tcBorders>
              <w:top w:val="nil"/>
            </w:tcBorders>
          </w:tcPr>
          <w:p w14:paraId="0E26EDCC" w14:textId="13F760D8" w:rsidR="00B81DB9" w:rsidRPr="005B4123" w:rsidRDefault="00B81DB9" w:rsidP="008B0BD9">
            <w:pPr>
              <w:jc w:val="center"/>
              <w:rPr>
                <w:sz w:val="20"/>
                <w:szCs w:val="20"/>
              </w:rPr>
            </w:pPr>
          </w:p>
        </w:tc>
        <w:tc>
          <w:tcPr>
            <w:tcW w:w="5564" w:type="dxa"/>
            <w:tcBorders>
              <w:top w:val="nil"/>
            </w:tcBorders>
          </w:tcPr>
          <w:p w14:paraId="7F6E0633" w14:textId="26E432B5" w:rsidR="00B81DB9" w:rsidRPr="00B81DB9" w:rsidRDefault="00B81DB9" w:rsidP="00B81DB9">
            <w:pPr>
              <w:autoSpaceDE w:val="0"/>
              <w:autoSpaceDN w:val="0"/>
              <w:adjustRightInd w:val="0"/>
              <w:rPr>
                <w:sz w:val="20"/>
                <w:szCs w:val="20"/>
              </w:rPr>
            </w:pPr>
            <w:r w:rsidRPr="00B81DB9">
              <w:rPr>
                <w:sz w:val="20"/>
                <w:szCs w:val="20"/>
              </w:rPr>
              <w:t>Electronegativity increases across a period, i.e. from Na to S. Both Na and S have the same</w:t>
            </w:r>
            <w:r>
              <w:rPr>
                <w:sz w:val="20"/>
                <w:szCs w:val="20"/>
              </w:rPr>
              <w:t xml:space="preserve"> </w:t>
            </w:r>
            <w:r w:rsidRPr="00B81DB9">
              <w:rPr>
                <w:sz w:val="20"/>
                <w:szCs w:val="20"/>
              </w:rPr>
              <w:t>number of energy levels and therefore the same shielding/electron-electron repulsion from</w:t>
            </w:r>
            <w:r>
              <w:rPr>
                <w:sz w:val="20"/>
                <w:szCs w:val="20"/>
              </w:rPr>
              <w:t xml:space="preserve"> </w:t>
            </w:r>
            <w:r w:rsidRPr="00B81DB9">
              <w:rPr>
                <w:sz w:val="20"/>
                <w:szCs w:val="20"/>
              </w:rPr>
              <w:t>inner levels. S has more protons/greater nuclear charge and therefore a greater attraction for</w:t>
            </w:r>
            <w:r>
              <w:rPr>
                <w:sz w:val="20"/>
                <w:szCs w:val="20"/>
              </w:rPr>
              <w:t xml:space="preserve"> </w:t>
            </w:r>
            <w:r w:rsidRPr="00B81DB9">
              <w:rPr>
                <w:sz w:val="20"/>
                <w:szCs w:val="20"/>
              </w:rPr>
              <w:t>valence/bonding electrons therefore greater electronegativity than Na.</w:t>
            </w:r>
          </w:p>
          <w:p w14:paraId="64DD8C88" w14:textId="53BB1FB9" w:rsidR="00B81DB9" w:rsidRPr="00B81DB9" w:rsidRDefault="00B81DB9" w:rsidP="00B81DB9">
            <w:pPr>
              <w:autoSpaceDE w:val="0"/>
              <w:autoSpaceDN w:val="0"/>
              <w:adjustRightInd w:val="0"/>
              <w:rPr>
                <w:sz w:val="20"/>
                <w:szCs w:val="20"/>
              </w:rPr>
            </w:pPr>
            <w:r w:rsidRPr="00B81DB9">
              <w:rPr>
                <w:sz w:val="20"/>
                <w:szCs w:val="20"/>
              </w:rPr>
              <w:t xml:space="preserve">Electronegativity decreases down a group. </w:t>
            </w:r>
            <w:proofErr w:type="spellStart"/>
            <w:r w:rsidRPr="00B81DB9">
              <w:rPr>
                <w:sz w:val="20"/>
                <w:szCs w:val="20"/>
              </w:rPr>
              <w:t>Sulfur</w:t>
            </w:r>
            <w:proofErr w:type="spellEnd"/>
            <w:r w:rsidRPr="00B81DB9">
              <w:rPr>
                <w:sz w:val="20"/>
                <w:szCs w:val="20"/>
              </w:rPr>
              <w:t xml:space="preserve"> has one more energy level and therefore</w:t>
            </w:r>
            <w:r>
              <w:rPr>
                <w:sz w:val="20"/>
                <w:szCs w:val="20"/>
              </w:rPr>
              <w:t xml:space="preserve"> </w:t>
            </w:r>
            <w:r w:rsidRPr="00B81DB9">
              <w:rPr>
                <w:sz w:val="20"/>
                <w:szCs w:val="20"/>
              </w:rPr>
              <w:t>increased shielding/electron-electron repulsion. Even though S has greater nuclear</w:t>
            </w:r>
            <w:r>
              <w:rPr>
                <w:sz w:val="20"/>
                <w:szCs w:val="20"/>
              </w:rPr>
              <w:t xml:space="preserve"> </w:t>
            </w:r>
            <w:r w:rsidRPr="00B81DB9">
              <w:rPr>
                <w:sz w:val="20"/>
                <w:szCs w:val="20"/>
              </w:rPr>
              <w:t>charge/more protons than O, because the valence electrons are further from the nucleus,</w:t>
            </w:r>
          </w:p>
          <w:p w14:paraId="37C4E010" w14:textId="22651D8B" w:rsidR="00B81DB9" w:rsidRPr="00B81DB9" w:rsidRDefault="00B81DB9" w:rsidP="00B81DB9">
            <w:pPr>
              <w:autoSpaceDE w:val="0"/>
              <w:autoSpaceDN w:val="0"/>
              <w:adjustRightInd w:val="0"/>
              <w:rPr>
                <w:sz w:val="20"/>
                <w:szCs w:val="20"/>
                <w:lang w:val="en-US"/>
              </w:rPr>
            </w:pPr>
            <w:r w:rsidRPr="00B81DB9">
              <w:rPr>
                <w:sz w:val="20"/>
                <w:szCs w:val="20"/>
              </w:rPr>
              <w:t>electronegativity is lower.</w:t>
            </w:r>
          </w:p>
        </w:tc>
        <w:tc>
          <w:tcPr>
            <w:tcW w:w="3225" w:type="dxa"/>
            <w:tcBorders>
              <w:top w:val="nil"/>
            </w:tcBorders>
          </w:tcPr>
          <w:p w14:paraId="30F9D436" w14:textId="070CD243" w:rsidR="00B81DB9" w:rsidRPr="00B81DB9" w:rsidRDefault="00B81DB9" w:rsidP="00B81DB9">
            <w:pPr>
              <w:autoSpaceDE w:val="0"/>
              <w:autoSpaceDN w:val="0"/>
              <w:adjustRightInd w:val="0"/>
              <w:rPr>
                <w:sz w:val="20"/>
                <w:szCs w:val="20"/>
              </w:rPr>
            </w:pPr>
            <w:r w:rsidRPr="00B81DB9">
              <w:rPr>
                <w:sz w:val="20"/>
                <w:szCs w:val="20"/>
              </w:rPr>
              <w:t>States that</w:t>
            </w:r>
            <w:r>
              <w:rPr>
                <w:sz w:val="20"/>
                <w:szCs w:val="20"/>
              </w:rPr>
              <w:t xml:space="preserve"> </w:t>
            </w:r>
            <w:r w:rsidRPr="00B81DB9">
              <w:rPr>
                <w:sz w:val="20"/>
                <w:szCs w:val="20"/>
              </w:rPr>
              <w:t>electronegativity increases</w:t>
            </w:r>
          </w:p>
          <w:p w14:paraId="7B4ED828" w14:textId="77777777" w:rsidR="00B81DB9" w:rsidRPr="00B81DB9" w:rsidRDefault="00B81DB9" w:rsidP="00B81DB9">
            <w:pPr>
              <w:autoSpaceDE w:val="0"/>
              <w:autoSpaceDN w:val="0"/>
              <w:adjustRightInd w:val="0"/>
              <w:rPr>
                <w:sz w:val="20"/>
                <w:szCs w:val="20"/>
              </w:rPr>
            </w:pPr>
            <w:r w:rsidRPr="00B81DB9">
              <w:rPr>
                <w:sz w:val="20"/>
                <w:szCs w:val="20"/>
              </w:rPr>
              <w:t>across a period</w:t>
            </w:r>
          </w:p>
          <w:p w14:paraId="0243FB55" w14:textId="77777777" w:rsidR="00B81DB9" w:rsidRDefault="00B81DB9" w:rsidP="00B81DB9">
            <w:pPr>
              <w:autoSpaceDE w:val="0"/>
              <w:autoSpaceDN w:val="0"/>
              <w:adjustRightInd w:val="0"/>
              <w:rPr>
                <w:sz w:val="20"/>
                <w:szCs w:val="20"/>
              </w:rPr>
            </w:pPr>
            <w:r w:rsidRPr="00B81DB9">
              <w:rPr>
                <w:sz w:val="20"/>
                <w:szCs w:val="20"/>
              </w:rPr>
              <w:t xml:space="preserve">OR </w:t>
            </w:r>
          </w:p>
          <w:p w14:paraId="1AC76DBF" w14:textId="11EB12FC" w:rsidR="00B81DB9" w:rsidRPr="00B81DB9" w:rsidRDefault="00B81DB9" w:rsidP="00B81DB9">
            <w:pPr>
              <w:autoSpaceDE w:val="0"/>
              <w:autoSpaceDN w:val="0"/>
              <w:adjustRightInd w:val="0"/>
              <w:rPr>
                <w:sz w:val="20"/>
                <w:szCs w:val="20"/>
              </w:rPr>
            </w:pPr>
            <w:r w:rsidRPr="00B81DB9">
              <w:rPr>
                <w:sz w:val="20"/>
                <w:szCs w:val="20"/>
              </w:rPr>
              <w:t>up a group.</w:t>
            </w:r>
          </w:p>
          <w:p w14:paraId="6FC9EB8F" w14:textId="77777777" w:rsidR="00B81DB9" w:rsidRPr="00B81DB9" w:rsidRDefault="00B81DB9" w:rsidP="00B81DB9">
            <w:pPr>
              <w:autoSpaceDE w:val="0"/>
              <w:autoSpaceDN w:val="0"/>
              <w:adjustRightInd w:val="0"/>
              <w:rPr>
                <w:sz w:val="20"/>
                <w:szCs w:val="20"/>
              </w:rPr>
            </w:pPr>
            <w:r w:rsidRPr="00B81DB9">
              <w:rPr>
                <w:sz w:val="20"/>
                <w:szCs w:val="20"/>
              </w:rPr>
              <w:t>OR</w:t>
            </w:r>
          </w:p>
          <w:p w14:paraId="404A3EFB" w14:textId="768D58E5" w:rsidR="00B81DB9" w:rsidRPr="00B81DB9" w:rsidRDefault="00B81DB9" w:rsidP="00B81DB9">
            <w:pPr>
              <w:autoSpaceDE w:val="0"/>
              <w:autoSpaceDN w:val="0"/>
              <w:adjustRightInd w:val="0"/>
              <w:rPr>
                <w:sz w:val="20"/>
                <w:szCs w:val="20"/>
              </w:rPr>
            </w:pPr>
            <w:r w:rsidRPr="00B81DB9">
              <w:rPr>
                <w:sz w:val="20"/>
                <w:szCs w:val="20"/>
              </w:rPr>
              <w:t>One correct statement</w:t>
            </w:r>
            <w:r>
              <w:rPr>
                <w:sz w:val="20"/>
                <w:szCs w:val="20"/>
              </w:rPr>
              <w:t xml:space="preserve"> </w:t>
            </w:r>
            <w:r w:rsidRPr="00B81DB9">
              <w:rPr>
                <w:sz w:val="20"/>
                <w:szCs w:val="20"/>
              </w:rPr>
              <w:t>relating to</w:t>
            </w:r>
          </w:p>
          <w:p w14:paraId="64BF1BF7" w14:textId="7B5EFDD8" w:rsidR="00B81DB9" w:rsidRPr="00B81DB9" w:rsidRDefault="00B81DB9" w:rsidP="00B81DB9">
            <w:pPr>
              <w:pStyle w:val="textbullet"/>
              <w:numPr>
                <w:ilvl w:val="0"/>
                <w:numId w:val="0"/>
              </w:numPr>
              <w:spacing w:after="0"/>
              <w:ind w:left="220" w:hanging="220"/>
            </w:pPr>
            <w:r w:rsidRPr="00B81DB9">
              <w:t>electronegativity.</w:t>
            </w:r>
          </w:p>
        </w:tc>
        <w:tc>
          <w:tcPr>
            <w:tcW w:w="3118" w:type="dxa"/>
            <w:tcBorders>
              <w:top w:val="nil"/>
            </w:tcBorders>
          </w:tcPr>
          <w:p w14:paraId="20C79C71" w14:textId="77777777" w:rsidR="00B81DB9" w:rsidRPr="00B81DB9" w:rsidRDefault="00B81DB9" w:rsidP="00B81DB9">
            <w:pPr>
              <w:autoSpaceDE w:val="0"/>
              <w:autoSpaceDN w:val="0"/>
              <w:adjustRightInd w:val="0"/>
              <w:rPr>
                <w:sz w:val="20"/>
                <w:szCs w:val="20"/>
              </w:rPr>
            </w:pPr>
            <w:r w:rsidRPr="00B81DB9">
              <w:rPr>
                <w:sz w:val="20"/>
                <w:szCs w:val="20"/>
              </w:rPr>
              <w:t>Explains difference in</w:t>
            </w:r>
          </w:p>
          <w:p w14:paraId="59EA81CF" w14:textId="6A219CA9" w:rsidR="00B81DB9" w:rsidRPr="00B81DB9" w:rsidRDefault="00B81DB9" w:rsidP="00B81DB9">
            <w:pPr>
              <w:autoSpaceDE w:val="0"/>
              <w:autoSpaceDN w:val="0"/>
              <w:adjustRightInd w:val="0"/>
              <w:rPr>
                <w:sz w:val="20"/>
                <w:szCs w:val="20"/>
              </w:rPr>
            </w:pPr>
            <w:r w:rsidRPr="00B81DB9">
              <w:rPr>
                <w:sz w:val="20"/>
                <w:szCs w:val="20"/>
              </w:rPr>
              <w:t>electronegativity</w:t>
            </w:r>
            <w:r>
              <w:rPr>
                <w:sz w:val="20"/>
                <w:szCs w:val="20"/>
              </w:rPr>
              <w:t xml:space="preserve"> </w:t>
            </w:r>
            <w:r w:rsidRPr="00B81DB9">
              <w:rPr>
                <w:sz w:val="20"/>
                <w:szCs w:val="20"/>
              </w:rPr>
              <w:t>EITHER across a</w:t>
            </w:r>
          </w:p>
          <w:p w14:paraId="77D06DA7" w14:textId="2F229714" w:rsidR="00B81DB9" w:rsidRPr="00B81DB9" w:rsidRDefault="00B81DB9" w:rsidP="00B81DB9">
            <w:pPr>
              <w:autoSpaceDE w:val="0"/>
              <w:autoSpaceDN w:val="0"/>
              <w:adjustRightInd w:val="0"/>
              <w:rPr>
                <w:sz w:val="20"/>
                <w:szCs w:val="20"/>
              </w:rPr>
            </w:pPr>
            <w:r w:rsidRPr="00B81DB9">
              <w:rPr>
                <w:sz w:val="20"/>
                <w:szCs w:val="20"/>
              </w:rPr>
              <w:t>period OR up / down a</w:t>
            </w:r>
            <w:r>
              <w:rPr>
                <w:sz w:val="20"/>
                <w:szCs w:val="20"/>
              </w:rPr>
              <w:t xml:space="preserve"> </w:t>
            </w:r>
            <w:r w:rsidRPr="00B81DB9">
              <w:rPr>
                <w:sz w:val="20"/>
                <w:szCs w:val="20"/>
              </w:rPr>
              <w:t>group</w:t>
            </w:r>
          </w:p>
          <w:p w14:paraId="120B9F80" w14:textId="77777777" w:rsidR="00B81DB9" w:rsidRPr="00B81DB9" w:rsidRDefault="00B81DB9" w:rsidP="00B81DB9">
            <w:pPr>
              <w:autoSpaceDE w:val="0"/>
              <w:autoSpaceDN w:val="0"/>
              <w:adjustRightInd w:val="0"/>
              <w:rPr>
                <w:sz w:val="20"/>
                <w:szCs w:val="20"/>
              </w:rPr>
            </w:pPr>
            <w:r w:rsidRPr="00B81DB9">
              <w:rPr>
                <w:sz w:val="20"/>
                <w:szCs w:val="20"/>
              </w:rPr>
              <w:t>OR</w:t>
            </w:r>
          </w:p>
          <w:p w14:paraId="12A0BF28" w14:textId="7FF1DDDC" w:rsidR="00B81DB9" w:rsidRPr="00B81DB9" w:rsidRDefault="00B81DB9" w:rsidP="00B81DB9">
            <w:pPr>
              <w:autoSpaceDE w:val="0"/>
              <w:autoSpaceDN w:val="0"/>
              <w:adjustRightInd w:val="0"/>
              <w:rPr>
                <w:sz w:val="20"/>
                <w:szCs w:val="20"/>
              </w:rPr>
            </w:pPr>
            <w:r w:rsidRPr="00B81DB9">
              <w:rPr>
                <w:sz w:val="20"/>
                <w:szCs w:val="20"/>
              </w:rPr>
              <w:t>Partial explanation for</w:t>
            </w:r>
            <w:r>
              <w:rPr>
                <w:sz w:val="20"/>
                <w:szCs w:val="20"/>
              </w:rPr>
              <w:t xml:space="preserve"> </w:t>
            </w:r>
            <w:r w:rsidRPr="00B81DB9">
              <w:rPr>
                <w:sz w:val="20"/>
                <w:szCs w:val="20"/>
              </w:rPr>
              <w:t>both with some linking</w:t>
            </w:r>
            <w:r>
              <w:rPr>
                <w:sz w:val="20"/>
                <w:szCs w:val="20"/>
              </w:rPr>
              <w:t xml:space="preserve"> </w:t>
            </w:r>
            <w:r w:rsidRPr="00B81DB9">
              <w:rPr>
                <w:sz w:val="20"/>
                <w:szCs w:val="20"/>
              </w:rPr>
              <w:t>of ideas.</w:t>
            </w:r>
          </w:p>
        </w:tc>
        <w:tc>
          <w:tcPr>
            <w:tcW w:w="2722" w:type="dxa"/>
            <w:tcBorders>
              <w:top w:val="nil"/>
            </w:tcBorders>
          </w:tcPr>
          <w:p w14:paraId="25476639" w14:textId="6A4EAAB5" w:rsidR="00B81DB9" w:rsidRPr="00B81DB9" w:rsidRDefault="00B81DB9" w:rsidP="00B81DB9">
            <w:pPr>
              <w:autoSpaceDE w:val="0"/>
              <w:autoSpaceDN w:val="0"/>
              <w:adjustRightInd w:val="0"/>
              <w:rPr>
                <w:sz w:val="20"/>
                <w:szCs w:val="20"/>
              </w:rPr>
            </w:pPr>
            <w:r w:rsidRPr="00B81DB9">
              <w:rPr>
                <w:sz w:val="20"/>
                <w:szCs w:val="20"/>
              </w:rPr>
              <w:t>Fully accounts for</w:t>
            </w:r>
            <w:r>
              <w:rPr>
                <w:sz w:val="20"/>
                <w:szCs w:val="20"/>
              </w:rPr>
              <w:t xml:space="preserve"> </w:t>
            </w:r>
            <w:r w:rsidRPr="00B81DB9">
              <w:rPr>
                <w:sz w:val="20"/>
                <w:szCs w:val="20"/>
              </w:rPr>
              <w:t>difference in</w:t>
            </w:r>
            <w:r>
              <w:rPr>
                <w:sz w:val="20"/>
                <w:szCs w:val="20"/>
              </w:rPr>
              <w:t xml:space="preserve"> e</w:t>
            </w:r>
            <w:r w:rsidRPr="00B81DB9">
              <w:rPr>
                <w:sz w:val="20"/>
                <w:szCs w:val="20"/>
              </w:rPr>
              <w:t>lectronegativity for ALL</w:t>
            </w:r>
          </w:p>
          <w:p w14:paraId="04886A65" w14:textId="3F296702" w:rsidR="00B81DB9" w:rsidRPr="00B81DB9" w:rsidRDefault="00B81DB9" w:rsidP="00B81DB9">
            <w:pPr>
              <w:autoSpaceDE w:val="0"/>
              <w:autoSpaceDN w:val="0"/>
              <w:adjustRightInd w:val="0"/>
              <w:rPr>
                <w:sz w:val="20"/>
                <w:szCs w:val="20"/>
                <w:lang w:val="en-US"/>
              </w:rPr>
            </w:pPr>
            <w:r w:rsidRPr="00B81DB9">
              <w:rPr>
                <w:sz w:val="20"/>
                <w:szCs w:val="20"/>
              </w:rPr>
              <w:t>three elements.</w:t>
            </w:r>
          </w:p>
        </w:tc>
      </w:tr>
    </w:tbl>
    <w:p w14:paraId="0A9DC7E3" w14:textId="77777777" w:rsidR="00B81DB9" w:rsidRPr="00825176" w:rsidRDefault="00B81DB9"/>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80"/>
        <w:gridCol w:w="5564"/>
        <w:gridCol w:w="2516"/>
        <w:gridCol w:w="3577"/>
        <w:gridCol w:w="2972"/>
      </w:tblGrid>
      <w:tr w:rsidR="005B4123" w:rsidRPr="002D5512" w14:paraId="2579D5D9" w14:textId="77777777" w:rsidTr="005B4123">
        <w:trPr>
          <w:cantSplit/>
        </w:trPr>
        <w:tc>
          <w:tcPr>
            <w:tcW w:w="680" w:type="dxa"/>
            <w:tcBorders>
              <w:bottom w:val="single" w:sz="4" w:space="0" w:color="auto"/>
            </w:tcBorders>
            <w:vAlign w:val="center"/>
          </w:tcPr>
          <w:p w14:paraId="2CA8ABA8" w14:textId="77777777" w:rsidR="005B4123" w:rsidRPr="002D5512" w:rsidRDefault="005B4123" w:rsidP="007C3F9D">
            <w:pPr>
              <w:jc w:val="center"/>
              <w:rPr>
                <w:b/>
                <w:sz w:val="20"/>
                <w:szCs w:val="20"/>
              </w:rPr>
            </w:pPr>
            <w:r>
              <w:rPr>
                <w:b/>
                <w:sz w:val="20"/>
                <w:szCs w:val="20"/>
              </w:rPr>
              <w:t>2017</w:t>
            </w:r>
          </w:p>
        </w:tc>
        <w:tc>
          <w:tcPr>
            <w:tcW w:w="5564" w:type="dxa"/>
            <w:tcBorders>
              <w:bottom w:val="single" w:sz="4" w:space="0" w:color="auto"/>
            </w:tcBorders>
            <w:vAlign w:val="center"/>
          </w:tcPr>
          <w:p w14:paraId="5DCE1CF4" w14:textId="77777777" w:rsidR="005B4123" w:rsidRPr="002D5512" w:rsidRDefault="005B4123" w:rsidP="007C3F9D">
            <w:pPr>
              <w:jc w:val="center"/>
              <w:rPr>
                <w:b/>
                <w:sz w:val="20"/>
                <w:szCs w:val="20"/>
              </w:rPr>
            </w:pPr>
            <w:r w:rsidRPr="002D5512">
              <w:rPr>
                <w:b/>
                <w:sz w:val="20"/>
                <w:szCs w:val="20"/>
              </w:rPr>
              <w:t>Evidence</w:t>
            </w:r>
          </w:p>
        </w:tc>
        <w:tc>
          <w:tcPr>
            <w:tcW w:w="2516" w:type="dxa"/>
            <w:tcBorders>
              <w:bottom w:val="single" w:sz="4" w:space="0" w:color="auto"/>
            </w:tcBorders>
            <w:vAlign w:val="center"/>
          </w:tcPr>
          <w:p w14:paraId="47399D13" w14:textId="77777777" w:rsidR="005B4123" w:rsidRPr="002D5512" w:rsidRDefault="005B4123" w:rsidP="007C3F9D">
            <w:pPr>
              <w:jc w:val="center"/>
              <w:rPr>
                <w:b/>
                <w:sz w:val="20"/>
                <w:szCs w:val="20"/>
              </w:rPr>
            </w:pPr>
            <w:r w:rsidRPr="002D5512">
              <w:rPr>
                <w:b/>
                <w:sz w:val="20"/>
                <w:szCs w:val="20"/>
              </w:rPr>
              <w:t>Achievement</w:t>
            </w:r>
          </w:p>
        </w:tc>
        <w:tc>
          <w:tcPr>
            <w:tcW w:w="3577" w:type="dxa"/>
            <w:tcBorders>
              <w:bottom w:val="single" w:sz="4" w:space="0" w:color="auto"/>
            </w:tcBorders>
            <w:vAlign w:val="center"/>
          </w:tcPr>
          <w:p w14:paraId="084BB2FA" w14:textId="77777777" w:rsidR="005B4123" w:rsidRPr="002D5512" w:rsidRDefault="005B4123" w:rsidP="007C3F9D">
            <w:pPr>
              <w:jc w:val="center"/>
              <w:rPr>
                <w:b/>
                <w:sz w:val="20"/>
                <w:szCs w:val="20"/>
              </w:rPr>
            </w:pPr>
            <w:r w:rsidRPr="002D5512">
              <w:rPr>
                <w:b/>
                <w:sz w:val="20"/>
                <w:szCs w:val="20"/>
              </w:rPr>
              <w:t>Achievement with Merit</w:t>
            </w:r>
          </w:p>
        </w:tc>
        <w:tc>
          <w:tcPr>
            <w:tcW w:w="2972" w:type="dxa"/>
            <w:tcBorders>
              <w:bottom w:val="single" w:sz="4" w:space="0" w:color="auto"/>
            </w:tcBorders>
            <w:vAlign w:val="center"/>
          </w:tcPr>
          <w:p w14:paraId="5B1DE8D3" w14:textId="77777777" w:rsidR="005B4123" w:rsidRPr="002D5512" w:rsidRDefault="005B4123" w:rsidP="007C3F9D">
            <w:pPr>
              <w:jc w:val="center"/>
              <w:rPr>
                <w:b/>
                <w:sz w:val="20"/>
                <w:szCs w:val="20"/>
              </w:rPr>
            </w:pPr>
            <w:r w:rsidRPr="002D5512">
              <w:rPr>
                <w:b/>
                <w:sz w:val="20"/>
                <w:szCs w:val="20"/>
              </w:rPr>
              <w:t>Achievement with Excellence</w:t>
            </w:r>
          </w:p>
        </w:tc>
      </w:tr>
      <w:tr w:rsidR="005B4123" w:rsidRPr="002D5512" w14:paraId="10494C3C" w14:textId="77777777" w:rsidTr="005B4123">
        <w:trPr>
          <w:cantSplit/>
        </w:trPr>
        <w:tc>
          <w:tcPr>
            <w:tcW w:w="680" w:type="dxa"/>
            <w:tcBorders>
              <w:top w:val="nil"/>
            </w:tcBorders>
          </w:tcPr>
          <w:p w14:paraId="4E0DAE96" w14:textId="77777777" w:rsidR="005B4123" w:rsidRPr="005B4123" w:rsidRDefault="005B4123" w:rsidP="005B4123">
            <w:pPr>
              <w:jc w:val="center"/>
              <w:rPr>
                <w:sz w:val="20"/>
                <w:szCs w:val="20"/>
              </w:rPr>
            </w:pPr>
            <w:r w:rsidRPr="005B4123">
              <w:rPr>
                <w:sz w:val="20"/>
                <w:szCs w:val="20"/>
              </w:rPr>
              <w:t>(</w:t>
            </w:r>
            <w:proofErr w:type="spellStart"/>
            <w:r w:rsidRPr="005B4123">
              <w:rPr>
                <w:sz w:val="20"/>
                <w:szCs w:val="20"/>
              </w:rPr>
              <w:t>i</w:t>
            </w:r>
            <w:proofErr w:type="spellEnd"/>
            <w:r w:rsidRPr="005B4123">
              <w:rPr>
                <w:sz w:val="20"/>
                <w:szCs w:val="20"/>
              </w:rPr>
              <w:t>)</w:t>
            </w:r>
          </w:p>
          <w:p w14:paraId="7DEF98A4" w14:textId="77777777" w:rsidR="005B4123" w:rsidRPr="005B4123" w:rsidRDefault="005B4123" w:rsidP="007C3F9D">
            <w:pPr>
              <w:jc w:val="center"/>
              <w:rPr>
                <w:sz w:val="20"/>
                <w:szCs w:val="20"/>
              </w:rPr>
            </w:pPr>
          </w:p>
          <w:p w14:paraId="6BBFB7D9" w14:textId="77777777" w:rsidR="005B4123" w:rsidRPr="005B4123" w:rsidRDefault="005B4123" w:rsidP="007C3F9D">
            <w:pPr>
              <w:jc w:val="center"/>
              <w:rPr>
                <w:sz w:val="20"/>
                <w:szCs w:val="20"/>
              </w:rPr>
            </w:pPr>
            <w:r w:rsidRPr="005B4123">
              <w:rPr>
                <w:sz w:val="20"/>
                <w:szCs w:val="20"/>
              </w:rPr>
              <w:t>(ii)</w:t>
            </w:r>
          </w:p>
          <w:p w14:paraId="34FCEBCE" w14:textId="77777777" w:rsidR="005B4123" w:rsidRPr="005B4123" w:rsidRDefault="005B4123" w:rsidP="007C3F9D">
            <w:pPr>
              <w:jc w:val="center"/>
              <w:rPr>
                <w:sz w:val="20"/>
                <w:szCs w:val="20"/>
              </w:rPr>
            </w:pPr>
          </w:p>
        </w:tc>
        <w:tc>
          <w:tcPr>
            <w:tcW w:w="5564" w:type="dxa"/>
            <w:tcBorders>
              <w:top w:val="nil"/>
            </w:tcBorders>
          </w:tcPr>
          <w:p w14:paraId="65EF0DEF" w14:textId="77777777" w:rsidR="005B4123" w:rsidRPr="005B4123" w:rsidRDefault="005B4123" w:rsidP="005B4123">
            <w:pPr>
              <w:autoSpaceDE w:val="0"/>
              <w:autoSpaceDN w:val="0"/>
              <w:adjustRightInd w:val="0"/>
              <w:rPr>
                <w:sz w:val="20"/>
                <w:szCs w:val="20"/>
                <w:lang w:val="en-US"/>
              </w:rPr>
            </w:pPr>
            <w:r w:rsidRPr="005B4123">
              <w:rPr>
                <w:sz w:val="20"/>
                <w:szCs w:val="20"/>
                <w:lang w:val="en-US"/>
              </w:rPr>
              <w:t>Electronegativity is the ability of an atom to attract a bonding pair of electrons to itself.</w:t>
            </w:r>
          </w:p>
          <w:p w14:paraId="1EF66A56" w14:textId="77777777" w:rsidR="005B4123" w:rsidRPr="005B4123" w:rsidRDefault="005B4123" w:rsidP="005B4123">
            <w:pPr>
              <w:autoSpaceDE w:val="0"/>
              <w:autoSpaceDN w:val="0"/>
              <w:adjustRightInd w:val="0"/>
              <w:rPr>
                <w:sz w:val="20"/>
                <w:szCs w:val="20"/>
                <w:lang w:val="en-US"/>
              </w:rPr>
            </w:pPr>
            <w:r w:rsidRPr="005B4123">
              <w:rPr>
                <w:sz w:val="20"/>
                <w:szCs w:val="20"/>
                <w:lang w:val="en-US"/>
              </w:rPr>
              <w:t>Electronegativity increases as you go across a period.</w:t>
            </w:r>
          </w:p>
          <w:p w14:paraId="6E5A16EB" w14:textId="77777777" w:rsidR="005B4123" w:rsidRPr="005B4123" w:rsidRDefault="005B4123" w:rsidP="005B4123">
            <w:pPr>
              <w:autoSpaceDE w:val="0"/>
              <w:autoSpaceDN w:val="0"/>
              <w:adjustRightInd w:val="0"/>
              <w:rPr>
                <w:sz w:val="20"/>
                <w:szCs w:val="20"/>
                <w:lang w:val="en-US"/>
              </w:rPr>
            </w:pPr>
            <w:r w:rsidRPr="005B4123">
              <w:rPr>
                <w:sz w:val="20"/>
                <w:szCs w:val="20"/>
                <w:lang w:val="en-US"/>
              </w:rPr>
              <w:t>Both Cl and P are row 3 elements and have valence electrons in their 3rd shell. The electrons are in the same shell so experience the same shielding effect. Chlorine has more protons in its nucleus than phosphorus so its nuclear charge is greater. This means that chlorine will have more attraction for the bonding pair of electrons so its electronegativity is greater.</w:t>
            </w:r>
          </w:p>
        </w:tc>
        <w:tc>
          <w:tcPr>
            <w:tcW w:w="2516" w:type="dxa"/>
            <w:tcBorders>
              <w:top w:val="nil"/>
            </w:tcBorders>
          </w:tcPr>
          <w:p w14:paraId="112E1F9F" w14:textId="77777777" w:rsidR="005B4123" w:rsidRPr="005B4123" w:rsidRDefault="005B4123" w:rsidP="005B4123">
            <w:pPr>
              <w:autoSpaceDE w:val="0"/>
              <w:autoSpaceDN w:val="0"/>
              <w:adjustRightInd w:val="0"/>
              <w:rPr>
                <w:sz w:val="20"/>
                <w:szCs w:val="20"/>
                <w:lang w:val="en-US"/>
              </w:rPr>
            </w:pPr>
            <w:r w:rsidRPr="005B4123">
              <w:rPr>
                <w:sz w:val="20"/>
                <w:szCs w:val="20"/>
                <w:lang w:val="en-US"/>
              </w:rPr>
              <w:t>• Correct definition.</w:t>
            </w:r>
          </w:p>
          <w:p w14:paraId="317FE01E" w14:textId="77777777" w:rsidR="005B4123" w:rsidRPr="005B4123" w:rsidRDefault="005B4123" w:rsidP="005B4123">
            <w:pPr>
              <w:autoSpaceDE w:val="0"/>
              <w:autoSpaceDN w:val="0"/>
              <w:adjustRightInd w:val="0"/>
              <w:rPr>
                <w:sz w:val="20"/>
                <w:szCs w:val="20"/>
                <w:lang w:val="en-US"/>
              </w:rPr>
            </w:pPr>
          </w:p>
          <w:p w14:paraId="11C5B212" w14:textId="77777777" w:rsidR="005B4123" w:rsidRPr="005B4123" w:rsidRDefault="005B4123" w:rsidP="005B4123">
            <w:pPr>
              <w:pStyle w:val="textbullet"/>
              <w:numPr>
                <w:ilvl w:val="0"/>
                <w:numId w:val="0"/>
              </w:numPr>
              <w:spacing w:after="0"/>
              <w:ind w:left="220" w:hanging="220"/>
            </w:pPr>
            <w:r w:rsidRPr="005B4123">
              <w:rPr>
                <w:lang w:val="en-US"/>
              </w:rPr>
              <w:t>• ONE correct statement.</w:t>
            </w:r>
          </w:p>
        </w:tc>
        <w:tc>
          <w:tcPr>
            <w:tcW w:w="3577" w:type="dxa"/>
            <w:tcBorders>
              <w:top w:val="nil"/>
            </w:tcBorders>
          </w:tcPr>
          <w:p w14:paraId="684D27D7" w14:textId="77777777" w:rsidR="005B4123" w:rsidRPr="005B4123" w:rsidRDefault="005B4123" w:rsidP="005B4123">
            <w:pPr>
              <w:autoSpaceDE w:val="0"/>
              <w:autoSpaceDN w:val="0"/>
              <w:adjustRightInd w:val="0"/>
              <w:rPr>
                <w:sz w:val="20"/>
                <w:szCs w:val="20"/>
                <w:lang w:val="en-US"/>
              </w:rPr>
            </w:pPr>
            <w:r>
              <w:rPr>
                <w:sz w:val="20"/>
                <w:szCs w:val="20"/>
                <w:lang w:val="en-US"/>
              </w:rPr>
              <w:t xml:space="preserve">• Links nuclear charge to chlorine’s greater </w:t>
            </w:r>
            <w:r w:rsidRPr="005B4123">
              <w:rPr>
                <w:sz w:val="20"/>
                <w:szCs w:val="20"/>
                <w:lang w:val="en-US"/>
              </w:rPr>
              <w:t>electronegativity.</w:t>
            </w:r>
          </w:p>
        </w:tc>
        <w:tc>
          <w:tcPr>
            <w:tcW w:w="2972" w:type="dxa"/>
            <w:tcBorders>
              <w:top w:val="nil"/>
            </w:tcBorders>
          </w:tcPr>
          <w:p w14:paraId="72FE51FF" w14:textId="77777777" w:rsidR="005B4123" w:rsidRPr="005B4123" w:rsidRDefault="005B4123" w:rsidP="005B4123">
            <w:pPr>
              <w:autoSpaceDE w:val="0"/>
              <w:autoSpaceDN w:val="0"/>
              <w:adjustRightInd w:val="0"/>
              <w:rPr>
                <w:sz w:val="20"/>
                <w:szCs w:val="20"/>
                <w:lang w:val="en-US"/>
              </w:rPr>
            </w:pPr>
            <w:r>
              <w:rPr>
                <w:sz w:val="20"/>
                <w:szCs w:val="20"/>
                <w:lang w:val="en-US"/>
              </w:rPr>
              <w:t xml:space="preserve">• </w:t>
            </w:r>
            <w:r w:rsidRPr="005B4123">
              <w:rPr>
                <w:sz w:val="20"/>
                <w:szCs w:val="20"/>
                <w:lang w:val="en-US"/>
              </w:rPr>
              <w:t>F</w:t>
            </w:r>
            <w:r>
              <w:rPr>
                <w:sz w:val="20"/>
                <w:szCs w:val="20"/>
                <w:lang w:val="en-US"/>
              </w:rPr>
              <w:t>ull and correct e</w:t>
            </w:r>
            <w:r w:rsidRPr="005B4123">
              <w:rPr>
                <w:sz w:val="20"/>
                <w:szCs w:val="20"/>
                <w:lang w:val="en-US"/>
              </w:rPr>
              <w:t>xplanation of</w:t>
            </w:r>
          </w:p>
          <w:p w14:paraId="219C9D3F" w14:textId="77777777" w:rsidR="005B4123" w:rsidRPr="005B4123" w:rsidRDefault="005B4123" w:rsidP="005B4123">
            <w:pPr>
              <w:autoSpaceDE w:val="0"/>
              <w:autoSpaceDN w:val="0"/>
              <w:adjustRightInd w:val="0"/>
              <w:rPr>
                <w:sz w:val="20"/>
                <w:szCs w:val="20"/>
                <w:lang w:val="en-US"/>
              </w:rPr>
            </w:pPr>
            <w:r>
              <w:rPr>
                <w:sz w:val="20"/>
                <w:szCs w:val="20"/>
                <w:lang w:val="en-US"/>
              </w:rPr>
              <w:t xml:space="preserve">nuclear charge and </w:t>
            </w:r>
            <w:r w:rsidRPr="005B4123">
              <w:rPr>
                <w:sz w:val="20"/>
                <w:szCs w:val="20"/>
                <w:lang w:val="en-US"/>
              </w:rPr>
              <w:t>electrons.</w:t>
            </w:r>
          </w:p>
        </w:tc>
      </w:tr>
    </w:tbl>
    <w:p w14:paraId="34DBEFA7" w14:textId="74859EAD" w:rsidR="00B81DB9" w:rsidRDefault="00B81DB9" w:rsidP="00825176">
      <w:pPr>
        <w:pStyle w:val="aBodyText10mmhanging"/>
        <w:tabs>
          <w:tab w:val="clear" w:pos="567"/>
          <w:tab w:val="left" w:pos="0"/>
        </w:tabs>
        <w:spacing w:line="240" w:lineRule="auto"/>
        <w:ind w:left="0" w:firstLine="0"/>
        <w:rPr>
          <w:rFonts w:ascii="Times New Roman" w:hAnsi="Times New Roman"/>
          <w:b/>
        </w:rPr>
      </w:pPr>
    </w:p>
    <w:p w14:paraId="452537DA" w14:textId="77777777" w:rsidR="00B81DB9" w:rsidRDefault="00B81DB9" w:rsidP="00825176">
      <w:pPr>
        <w:pStyle w:val="aBodyText10mmhanging"/>
        <w:tabs>
          <w:tab w:val="clear" w:pos="567"/>
          <w:tab w:val="left" w:pos="0"/>
        </w:tabs>
        <w:spacing w:line="240" w:lineRule="auto"/>
        <w:ind w:left="0" w:firstLine="0"/>
        <w:rPr>
          <w:rFonts w:ascii="Times New Roman" w:hAnsi="Times New Roman"/>
          <w:b/>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80"/>
        <w:gridCol w:w="5564"/>
        <w:gridCol w:w="3121"/>
        <w:gridCol w:w="2972"/>
        <w:gridCol w:w="2972"/>
      </w:tblGrid>
      <w:tr w:rsidR="005B4123" w:rsidRPr="002D5512" w14:paraId="25AAE55B" w14:textId="77777777" w:rsidTr="007C3F9D">
        <w:trPr>
          <w:cantSplit/>
        </w:trPr>
        <w:tc>
          <w:tcPr>
            <w:tcW w:w="680" w:type="dxa"/>
            <w:tcBorders>
              <w:bottom w:val="single" w:sz="4" w:space="0" w:color="auto"/>
            </w:tcBorders>
            <w:vAlign w:val="center"/>
          </w:tcPr>
          <w:p w14:paraId="487C3ED9" w14:textId="77777777" w:rsidR="005B4123" w:rsidRPr="002D5512" w:rsidRDefault="005B4123" w:rsidP="007C3F9D">
            <w:pPr>
              <w:jc w:val="center"/>
              <w:rPr>
                <w:b/>
                <w:sz w:val="20"/>
                <w:szCs w:val="20"/>
              </w:rPr>
            </w:pPr>
            <w:r>
              <w:rPr>
                <w:b/>
                <w:sz w:val="20"/>
                <w:szCs w:val="20"/>
              </w:rPr>
              <w:lastRenderedPageBreak/>
              <w:t>2016</w:t>
            </w:r>
          </w:p>
        </w:tc>
        <w:tc>
          <w:tcPr>
            <w:tcW w:w="5564" w:type="dxa"/>
            <w:tcBorders>
              <w:bottom w:val="single" w:sz="4" w:space="0" w:color="auto"/>
            </w:tcBorders>
            <w:vAlign w:val="center"/>
          </w:tcPr>
          <w:p w14:paraId="6183D9F4" w14:textId="77777777" w:rsidR="005B4123" w:rsidRPr="002D5512" w:rsidRDefault="005B4123" w:rsidP="007C3F9D">
            <w:pPr>
              <w:jc w:val="center"/>
              <w:rPr>
                <w:b/>
                <w:sz w:val="20"/>
                <w:szCs w:val="20"/>
              </w:rPr>
            </w:pPr>
            <w:r w:rsidRPr="002D5512">
              <w:rPr>
                <w:b/>
                <w:sz w:val="20"/>
                <w:szCs w:val="20"/>
              </w:rPr>
              <w:t>Evidence</w:t>
            </w:r>
          </w:p>
        </w:tc>
        <w:tc>
          <w:tcPr>
            <w:tcW w:w="3121" w:type="dxa"/>
            <w:tcBorders>
              <w:bottom w:val="single" w:sz="4" w:space="0" w:color="auto"/>
            </w:tcBorders>
            <w:vAlign w:val="center"/>
          </w:tcPr>
          <w:p w14:paraId="1A4D5EA7" w14:textId="77777777" w:rsidR="005B4123" w:rsidRPr="002D5512" w:rsidRDefault="005B4123" w:rsidP="007C3F9D">
            <w:pPr>
              <w:jc w:val="center"/>
              <w:rPr>
                <w:b/>
                <w:sz w:val="20"/>
                <w:szCs w:val="20"/>
              </w:rPr>
            </w:pPr>
            <w:r w:rsidRPr="002D5512">
              <w:rPr>
                <w:b/>
                <w:sz w:val="20"/>
                <w:szCs w:val="20"/>
              </w:rPr>
              <w:t>Achievement</w:t>
            </w:r>
          </w:p>
        </w:tc>
        <w:tc>
          <w:tcPr>
            <w:tcW w:w="2972" w:type="dxa"/>
            <w:tcBorders>
              <w:bottom w:val="single" w:sz="4" w:space="0" w:color="auto"/>
            </w:tcBorders>
            <w:vAlign w:val="center"/>
          </w:tcPr>
          <w:p w14:paraId="2534ED8F" w14:textId="77777777" w:rsidR="005B4123" w:rsidRPr="002D5512" w:rsidRDefault="005B4123" w:rsidP="007C3F9D">
            <w:pPr>
              <w:jc w:val="center"/>
              <w:rPr>
                <w:b/>
                <w:sz w:val="20"/>
                <w:szCs w:val="20"/>
              </w:rPr>
            </w:pPr>
            <w:r w:rsidRPr="002D5512">
              <w:rPr>
                <w:b/>
                <w:sz w:val="20"/>
                <w:szCs w:val="20"/>
              </w:rPr>
              <w:t>Achievement with Merit</w:t>
            </w:r>
          </w:p>
        </w:tc>
        <w:tc>
          <w:tcPr>
            <w:tcW w:w="2972" w:type="dxa"/>
            <w:tcBorders>
              <w:bottom w:val="single" w:sz="4" w:space="0" w:color="auto"/>
            </w:tcBorders>
            <w:vAlign w:val="center"/>
          </w:tcPr>
          <w:p w14:paraId="7A8A45F6" w14:textId="77777777" w:rsidR="005B4123" w:rsidRPr="002D5512" w:rsidRDefault="005B4123" w:rsidP="007C3F9D">
            <w:pPr>
              <w:jc w:val="center"/>
              <w:rPr>
                <w:b/>
                <w:sz w:val="20"/>
                <w:szCs w:val="20"/>
              </w:rPr>
            </w:pPr>
            <w:r w:rsidRPr="002D5512">
              <w:rPr>
                <w:b/>
                <w:sz w:val="20"/>
                <w:szCs w:val="20"/>
              </w:rPr>
              <w:t>Achievement with Excellence</w:t>
            </w:r>
          </w:p>
        </w:tc>
      </w:tr>
      <w:tr w:rsidR="005B4123" w:rsidRPr="002D5512" w14:paraId="287F1E5B" w14:textId="77777777" w:rsidTr="007C3F9D">
        <w:trPr>
          <w:cantSplit/>
        </w:trPr>
        <w:tc>
          <w:tcPr>
            <w:tcW w:w="680" w:type="dxa"/>
            <w:tcBorders>
              <w:top w:val="nil"/>
            </w:tcBorders>
          </w:tcPr>
          <w:p w14:paraId="282D989F" w14:textId="77777777" w:rsidR="005B4123" w:rsidRPr="002D5512" w:rsidRDefault="005B4123" w:rsidP="005B4123">
            <w:pPr>
              <w:jc w:val="center"/>
              <w:rPr>
                <w:sz w:val="20"/>
                <w:szCs w:val="20"/>
              </w:rPr>
            </w:pPr>
          </w:p>
        </w:tc>
        <w:tc>
          <w:tcPr>
            <w:tcW w:w="5564" w:type="dxa"/>
            <w:tcBorders>
              <w:top w:val="nil"/>
            </w:tcBorders>
          </w:tcPr>
          <w:p w14:paraId="7844C6F4" w14:textId="77777777" w:rsidR="005B4123" w:rsidRPr="002D5512" w:rsidRDefault="005B4123" w:rsidP="007C3F9D">
            <w:pPr>
              <w:pStyle w:val="text"/>
            </w:pPr>
            <w:r w:rsidRPr="00E93804">
              <w:rPr>
                <w:b/>
              </w:rPr>
              <w:t>Electronegativity</w:t>
            </w:r>
            <w:r w:rsidRPr="002D5512">
              <w:t xml:space="preserve"> decreases down a group. Electronegativity is a measure of how strongly an atom attracts bonding electrons.</w:t>
            </w:r>
            <w:r>
              <w:t xml:space="preserve"> </w:t>
            </w:r>
            <w:r w:rsidRPr="002D5512">
              <w:t>Although the nucleus will become increasingly positive down a group (number of protons increases), the atomic radius increases down a group as more energy levels are added and shielding</w:t>
            </w:r>
            <w:r>
              <w:t xml:space="preserve"> </w:t>
            </w:r>
            <w:r w:rsidRPr="002D5512">
              <w:t>/</w:t>
            </w:r>
            <w:r>
              <w:t xml:space="preserve"> </w:t>
            </w:r>
            <w:r w:rsidRPr="002D5512">
              <w:t>repulsion from inner shells increases. Therefore, the bonding electrons in the valence shell will be further from the positive nucleus, resulting in a weaker electrostatic attraction between the nucleus and the bonding electrons.</w:t>
            </w:r>
            <w:r>
              <w:t xml:space="preserve"> </w:t>
            </w:r>
          </w:p>
          <w:p w14:paraId="01916B84" w14:textId="77777777" w:rsidR="005B4123" w:rsidRPr="002D5512" w:rsidRDefault="005B4123" w:rsidP="007C3F9D">
            <w:pPr>
              <w:pStyle w:val="text"/>
            </w:pPr>
            <w:r w:rsidRPr="00E93804">
              <w:rPr>
                <w:b/>
              </w:rPr>
              <w:t>First ionisation energy</w:t>
            </w:r>
            <w:r w:rsidRPr="002D5512">
              <w:t xml:space="preserve"> is a measure of how easily the first mole of electrons is removed from one mole of gaseous atoms.</w:t>
            </w:r>
            <w:r>
              <w:t xml:space="preserve"> </w:t>
            </w:r>
            <w:r w:rsidRPr="002D5512">
              <w:t>It becomes easier to remove an electron down a group / first IE decreases down a group as the valence electrons are further from nucleus with greater repulsion / shielding from inner shells, so there is less electrostatic attraction between protons in the nucleus and valence electron to be removed.</w:t>
            </w:r>
            <w:r>
              <w:t xml:space="preserve"> </w:t>
            </w:r>
          </w:p>
          <w:p w14:paraId="42D65795" w14:textId="77777777" w:rsidR="005B4123" w:rsidRPr="002D5512" w:rsidRDefault="005B4123" w:rsidP="007C3F9D">
            <w:pPr>
              <w:pStyle w:val="text"/>
              <w:spacing w:after="0"/>
            </w:pPr>
            <w:r w:rsidRPr="002D5512">
              <w:t>For both EN and first IE, the attraction between the positive nucleus and bonding / valence electrons in the outer shell is decreasing down a group, so both EN and first IE decrease down a group</w:t>
            </w:r>
            <w:r>
              <w:t xml:space="preserve">. </w:t>
            </w:r>
          </w:p>
        </w:tc>
        <w:tc>
          <w:tcPr>
            <w:tcW w:w="3121" w:type="dxa"/>
            <w:tcBorders>
              <w:top w:val="nil"/>
            </w:tcBorders>
          </w:tcPr>
          <w:p w14:paraId="33EAC48D" w14:textId="77777777" w:rsidR="005B4123" w:rsidRPr="002D5512" w:rsidRDefault="005B4123" w:rsidP="005B4123">
            <w:pPr>
              <w:pStyle w:val="textbullet"/>
              <w:spacing w:after="0"/>
            </w:pPr>
            <w:r w:rsidRPr="002D5512">
              <w:t>Trend in electronegativity and first ionisation energy correctly identified</w:t>
            </w:r>
            <w:r>
              <w:t>.</w:t>
            </w:r>
          </w:p>
          <w:p w14:paraId="508316DC" w14:textId="77777777" w:rsidR="005B4123" w:rsidRPr="002D5512" w:rsidRDefault="005B4123" w:rsidP="005B4123">
            <w:pPr>
              <w:pStyle w:val="textbullet"/>
              <w:numPr>
                <w:ilvl w:val="0"/>
                <w:numId w:val="0"/>
              </w:numPr>
              <w:spacing w:after="0"/>
              <w:ind w:left="170"/>
            </w:pPr>
            <w:r w:rsidRPr="002D5512">
              <w:t>OR</w:t>
            </w:r>
            <w:r>
              <w:t xml:space="preserve"> </w:t>
            </w:r>
          </w:p>
          <w:p w14:paraId="5010D442" w14:textId="77777777" w:rsidR="005B4123" w:rsidRPr="002D5512" w:rsidRDefault="005B4123" w:rsidP="005B4123">
            <w:pPr>
              <w:pStyle w:val="textbullet"/>
              <w:numPr>
                <w:ilvl w:val="0"/>
                <w:numId w:val="0"/>
              </w:numPr>
              <w:spacing w:after="0"/>
              <w:ind w:left="170"/>
            </w:pPr>
            <w:r w:rsidRPr="002D5512">
              <w:t>Correct definitions for electronegativit</w:t>
            </w:r>
            <w:r>
              <w:t>y and first ionisation energy.</w:t>
            </w:r>
          </w:p>
          <w:p w14:paraId="30ABB5C1" w14:textId="77777777" w:rsidR="005B4123" w:rsidRPr="002D5512" w:rsidRDefault="005B4123" w:rsidP="005B4123">
            <w:pPr>
              <w:pStyle w:val="textbullet"/>
              <w:numPr>
                <w:ilvl w:val="0"/>
                <w:numId w:val="0"/>
              </w:numPr>
              <w:spacing w:after="0"/>
              <w:ind w:left="170"/>
            </w:pPr>
            <w:r w:rsidRPr="002D5512">
              <w:t>OR</w:t>
            </w:r>
          </w:p>
          <w:p w14:paraId="4668756B" w14:textId="77777777" w:rsidR="005B4123" w:rsidRPr="002D5512" w:rsidRDefault="005B4123" w:rsidP="005B4123">
            <w:pPr>
              <w:pStyle w:val="textbullet"/>
              <w:numPr>
                <w:ilvl w:val="0"/>
                <w:numId w:val="0"/>
              </w:numPr>
              <w:spacing w:after="0"/>
              <w:ind w:left="170"/>
            </w:pPr>
            <w:r w:rsidRPr="002D5512">
              <w:t>Both the definition AND the trend are correct for either electronegativity or first ionisation energy.</w:t>
            </w:r>
          </w:p>
        </w:tc>
        <w:tc>
          <w:tcPr>
            <w:tcW w:w="2972" w:type="dxa"/>
            <w:tcBorders>
              <w:top w:val="nil"/>
            </w:tcBorders>
          </w:tcPr>
          <w:p w14:paraId="306D6E93" w14:textId="77777777" w:rsidR="005B4123" w:rsidRDefault="005B4123" w:rsidP="005B4123">
            <w:pPr>
              <w:pStyle w:val="textbullet"/>
              <w:spacing w:after="0"/>
            </w:pPr>
            <w:r w:rsidRPr="002D5512">
              <w:t>Links trend in electronegativity</w:t>
            </w:r>
          </w:p>
          <w:p w14:paraId="7137DC09" w14:textId="77777777" w:rsidR="005B4123" w:rsidRDefault="005B4123" w:rsidP="005B4123">
            <w:pPr>
              <w:pStyle w:val="textbullet"/>
              <w:numPr>
                <w:ilvl w:val="0"/>
                <w:numId w:val="0"/>
              </w:numPr>
              <w:spacing w:after="0"/>
              <w:ind w:left="220"/>
            </w:pPr>
            <w:r>
              <w:t>AND ionisation energy</w:t>
            </w:r>
            <w:r w:rsidRPr="002D5512">
              <w:t xml:space="preserve"> to </w:t>
            </w:r>
          </w:p>
          <w:p w14:paraId="07012EEC" w14:textId="77777777" w:rsidR="005B4123" w:rsidRDefault="005B4123" w:rsidP="005B4123">
            <w:pPr>
              <w:pStyle w:val="textbullet"/>
              <w:numPr>
                <w:ilvl w:val="0"/>
                <w:numId w:val="0"/>
              </w:numPr>
              <w:spacing w:after="0"/>
              <w:ind w:left="170"/>
            </w:pPr>
            <w:r>
              <w:t xml:space="preserve">EITHER </w:t>
            </w:r>
          </w:p>
          <w:p w14:paraId="5371CBB4" w14:textId="77777777" w:rsidR="005B4123" w:rsidRPr="002D5512" w:rsidRDefault="005B4123" w:rsidP="005B4123">
            <w:pPr>
              <w:pStyle w:val="textbullet"/>
              <w:numPr>
                <w:ilvl w:val="0"/>
                <w:numId w:val="0"/>
              </w:numPr>
              <w:spacing w:after="0"/>
              <w:ind w:left="170"/>
            </w:pPr>
            <w:r w:rsidRPr="002D5512">
              <w:t>the size of atom / shielding</w:t>
            </w:r>
          </w:p>
          <w:p w14:paraId="4FA0AC87" w14:textId="77777777" w:rsidR="005B4123" w:rsidRPr="002D5512" w:rsidRDefault="005B4123" w:rsidP="005B4123">
            <w:pPr>
              <w:pStyle w:val="textbullet"/>
              <w:numPr>
                <w:ilvl w:val="0"/>
                <w:numId w:val="0"/>
              </w:numPr>
              <w:spacing w:after="0"/>
              <w:ind w:left="170"/>
            </w:pPr>
            <w:r w:rsidRPr="002D5512">
              <w:t>OR</w:t>
            </w:r>
          </w:p>
          <w:p w14:paraId="6207A5B6" w14:textId="77777777" w:rsidR="005B4123" w:rsidRPr="002D5512" w:rsidRDefault="005B4123" w:rsidP="005B4123">
            <w:pPr>
              <w:pStyle w:val="textbullet"/>
              <w:numPr>
                <w:ilvl w:val="0"/>
                <w:numId w:val="0"/>
              </w:numPr>
              <w:spacing w:after="0"/>
              <w:ind w:left="170"/>
            </w:pPr>
            <w:r>
              <w:t>t</w:t>
            </w:r>
            <w:r w:rsidRPr="002D5512">
              <w:t xml:space="preserve">o the electrostatic attraction between the nucleus and </w:t>
            </w:r>
            <w:r>
              <w:t>bonding</w:t>
            </w:r>
            <w:r w:rsidRPr="002D5512">
              <w:t xml:space="preserve"> electrons.</w:t>
            </w:r>
            <w:r>
              <w:t xml:space="preserve"> </w:t>
            </w:r>
          </w:p>
          <w:p w14:paraId="5A6D1BD2" w14:textId="77777777" w:rsidR="005B4123" w:rsidRPr="002D5512" w:rsidRDefault="005B4123" w:rsidP="007C3F9D">
            <w:pPr>
              <w:rPr>
                <w:sz w:val="20"/>
                <w:szCs w:val="20"/>
              </w:rPr>
            </w:pPr>
          </w:p>
          <w:p w14:paraId="26D125ED" w14:textId="77777777" w:rsidR="005B4123" w:rsidRPr="002D5512" w:rsidRDefault="005B4123" w:rsidP="007C3F9D">
            <w:pPr>
              <w:rPr>
                <w:sz w:val="20"/>
                <w:szCs w:val="20"/>
              </w:rPr>
            </w:pPr>
          </w:p>
          <w:p w14:paraId="40A8B862" w14:textId="77777777" w:rsidR="005B4123" w:rsidRPr="002D5512" w:rsidRDefault="005B4123" w:rsidP="007C3F9D">
            <w:pPr>
              <w:rPr>
                <w:sz w:val="20"/>
                <w:szCs w:val="20"/>
              </w:rPr>
            </w:pPr>
          </w:p>
          <w:p w14:paraId="23B665CA" w14:textId="77777777" w:rsidR="005B4123" w:rsidRPr="002D5512" w:rsidRDefault="005B4123" w:rsidP="007C3F9D">
            <w:pPr>
              <w:pStyle w:val="textbullet"/>
              <w:numPr>
                <w:ilvl w:val="0"/>
                <w:numId w:val="0"/>
              </w:numPr>
              <w:spacing w:after="0"/>
              <w:ind w:left="170" w:hanging="170"/>
            </w:pPr>
          </w:p>
        </w:tc>
        <w:tc>
          <w:tcPr>
            <w:tcW w:w="2972" w:type="dxa"/>
            <w:tcBorders>
              <w:top w:val="nil"/>
            </w:tcBorders>
          </w:tcPr>
          <w:p w14:paraId="276BB639" w14:textId="77777777" w:rsidR="005B4123" w:rsidRPr="002D5512" w:rsidRDefault="005B4123" w:rsidP="007C3F9D">
            <w:pPr>
              <w:rPr>
                <w:sz w:val="20"/>
                <w:szCs w:val="20"/>
              </w:rPr>
            </w:pPr>
          </w:p>
          <w:p w14:paraId="6A3A7941" w14:textId="77777777" w:rsidR="005B4123" w:rsidRPr="002D5512" w:rsidRDefault="005B4123" w:rsidP="007C3F9D">
            <w:pPr>
              <w:rPr>
                <w:sz w:val="20"/>
                <w:szCs w:val="20"/>
              </w:rPr>
            </w:pPr>
          </w:p>
          <w:p w14:paraId="604A9691" w14:textId="77777777" w:rsidR="005B4123" w:rsidRPr="002D5512" w:rsidRDefault="005B4123" w:rsidP="007C3F9D">
            <w:pPr>
              <w:pStyle w:val="textbullet"/>
              <w:spacing w:after="0"/>
            </w:pPr>
            <w:r w:rsidRPr="002D5512">
              <w:t>Full explanation, including the relationship between electronegativity and first ionisation energy</w:t>
            </w:r>
            <w:r>
              <w:t xml:space="preserve">. </w:t>
            </w:r>
          </w:p>
        </w:tc>
      </w:tr>
    </w:tbl>
    <w:p w14:paraId="2FBC4F31" w14:textId="77777777" w:rsidR="005B4123" w:rsidRDefault="005B4123" w:rsidP="00825176">
      <w:pPr>
        <w:pStyle w:val="aBodyText10mmhanging"/>
        <w:tabs>
          <w:tab w:val="clear" w:pos="567"/>
          <w:tab w:val="left" w:pos="0"/>
        </w:tabs>
        <w:spacing w:line="240" w:lineRule="auto"/>
        <w:ind w:left="0" w:firstLine="0"/>
        <w:rPr>
          <w:rFonts w:ascii="Times New Roman" w:hAnsi="Times New Roman"/>
          <w:b/>
        </w:rPr>
      </w:pPr>
    </w:p>
    <w:tbl>
      <w:tblPr>
        <w:tblStyle w:val="TableGrid"/>
        <w:tblW w:w="0" w:type="auto"/>
        <w:tblLook w:val="04A0" w:firstRow="1" w:lastRow="0" w:firstColumn="1" w:lastColumn="0" w:noHBand="0" w:noVBand="1"/>
      </w:tblPr>
      <w:tblGrid>
        <w:gridCol w:w="817"/>
        <w:gridCol w:w="5505"/>
        <w:gridCol w:w="3161"/>
        <w:gridCol w:w="3161"/>
        <w:gridCol w:w="3162"/>
      </w:tblGrid>
      <w:tr w:rsidR="005B4123" w:rsidRPr="005B4123" w14:paraId="1CC02829" w14:textId="77777777" w:rsidTr="005B4123">
        <w:tc>
          <w:tcPr>
            <w:tcW w:w="817" w:type="dxa"/>
          </w:tcPr>
          <w:p w14:paraId="6636E53D" w14:textId="77777777" w:rsidR="005B4123" w:rsidRPr="005B4123" w:rsidRDefault="005B4123" w:rsidP="005B4123">
            <w:pPr>
              <w:pStyle w:val="aBodyText10mmhanging"/>
              <w:tabs>
                <w:tab w:val="clear" w:pos="567"/>
                <w:tab w:val="left" w:pos="0"/>
              </w:tabs>
              <w:spacing w:line="240" w:lineRule="auto"/>
              <w:ind w:left="0" w:firstLine="0"/>
              <w:jc w:val="center"/>
              <w:rPr>
                <w:rFonts w:ascii="Times New Roman" w:hAnsi="Times New Roman"/>
                <w:b/>
                <w:sz w:val="20"/>
                <w:szCs w:val="20"/>
              </w:rPr>
            </w:pPr>
            <w:r w:rsidRPr="005B4123">
              <w:rPr>
                <w:rFonts w:ascii="Times New Roman" w:hAnsi="Times New Roman"/>
                <w:b/>
                <w:sz w:val="20"/>
                <w:szCs w:val="20"/>
              </w:rPr>
              <w:t>2015</w:t>
            </w:r>
          </w:p>
        </w:tc>
        <w:tc>
          <w:tcPr>
            <w:tcW w:w="5505" w:type="dxa"/>
          </w:tcPr>
          <w:p w14:paraId="63053837" w14:textId="77777777" w:rsidR="005B4123" w:rsidRPr="005B4123" w:rsidRDefault="005B4123" w:rsidP="005B4123">
            <w:pPr>
              <w:pStyle w:val="aBodyText10mmhanging"/>
              <w:tabs>
                <w:tab w:val="clear" w:pos="567"/>
                <w:tab w:val="left" w:pos="0"/>
              </w:tabs>
              <w:spacing w:line="240" w:lineRule="auto"/>
              <w:ind w:left="0" w:firstLine="0"/>
              <w:jc w:val="center"/>
              <w:rPr>
                <w:rFonts w:ascii="Times New Roman" w:hAnsi="Times New Roman"/>
                <w:b/>
                <w:sz w:val="20"/>
                <w:szCs w:val="20"/>
              </w:rPr>
            </w:pPr>
            <w:r w:rsidRPr="005B4123">
              <w:rPr>
                <w:rFonts w:ascii="Times New Roman" w:hAnsi="Times New Roman"/>
                <w:b/>
                <w:sz w:val="20"/>
                <w:szCs w:val="20"/>
              </w:rPr>
              <w:t>Evidence</w:t>
            </w:r>
          </w:p>
        </w:tc>
        <w:tc>
          <w:tcPr>
            <w:tcW w:w="3161" w:type="dxa"/>
          </w:tcPr>
          <w:p w14:paraId="5A4A74C3" w14:textId="77777777" w:rsidR="005B4123" w:rsidRPr="005B4123" w:rsidRDefault="005B4123" w:rsidP="005B4123">
            <w:pPr>
              <w:pStyle w:val="aBodyText10mmhanging"/>
              <w:tabs>
                <w:tab w:val="clear" w:pos="567"/>
                <w:tab w:val="left" w:pos="0"/>
              </w:tabs>
              <w:spacing w:line="240" w:lineRule="auto"/>
              <w:ind w:left="0" w:firstLine="0"/>
              <w:jc w:val="center"/>
              <w:rPr>
                <w:rFonts w:ascii="Times New Roman" w:hAnsi="Times New Roman"/>
                <w:b/>
                <w:sz w:val="20"/>
                <w:szCs w:val="20"/>
              </w:rPr>
            </w:pPr>
            <w:r w:rsidRPr="005B4123">
              <w:rPr>
                <w:rFonts w:ascii="Times New Roman" w:hAnsi="Times New Roman"/>
                <w:b/>
                <w:sz w:val="20"/>
                <w:szCs w:val="20"/>
              </w:rPr>
              <w:t>Achievement</w:t>
            </w:r>
          </w:p>
        </w:tc>
        <w:tc>
          <w:tcPr>
            <w:tcW w:w="3161" w:type="dxa"/>
          </w:tcPr>
          <w:p w14:paraId="756E546C" w14:textId="77777777" w:rsidR="005B4123" w:rsidRPr="005B4123" w:rsidRDefault="005B4123" w:rsidP="005B4123">
            <w:pPr>
              <w:pStyle w:val="aBodyText10mmhanging"/>
              <w:tabs>
                <w:tab w:val="clear" w:pos="567"/>
                <w:tab w:val="left" w:pos="0"/>
              </w:tabs>
              <w:spacing w:line="240" w:lineRule="auto"/>
              <w:ind w:left="0" w:firstLine="0"/>
              <w:jc w:val="center"/>
              <w:rPr>
                <w:rFonts w:ascii="Times New Roman" w:hAnsi="Times New Roman"/>
                <w:b/>
                <w:sz w:val="20"/>
                <w:szCs w:val="20"/>
              </w:rPr>
            </w:pPr>
            <w:r w:rsidRPr="005B4123">
              <w:rPr>
                <w:rFonts w:ascii="Times New Roman" w:hAnsi="Times New Roman"/>
                <w:b/>
                <w:sz w:val="20"/>
                <w:szCs w:val="20"/>
              </w:rPr>
              <w:t>Merit</w:t>
            </w:r>
          </w:p>
        </w:tc>
        <w:tc>
          <w:tcPr>
            <w:tcW w:w="3162" w:type="dxa"/>
          </w:tcPr>
          <w:p w14:paraId="24A9AF8B" w14:textId="77777777" w:rsidR="005B4123" w:rsidRPr="005B4123" w:rsidRDefault="005B4123" w:rsidP="005B4123">
            <w:pPr>
              <w:pStyle w:val="aBodyText10mmhanging"/>
              <w:tabs>
                <w:tab w:val="clear" w:pos="567"/>
                <w:tab w:val="left" w:pos="0"/>
              </w:tabs>
              <w:spacing w:line="240" w:lineRule="auto"/>
              <w:ind w:left="0" w:firstLine="0"/>
              <w:jc w:val="center"/>
              <w:rPr>
                <w:rFonts w:ascii="Times New Roman" w:hAnsi="Times New Roman"/>
                <w:b/>
                <w:sz w:val="20"/>
                <w:szCs w:val="20"/>
              </w:rPr>
            </w:pPr>
            <w:r w:rsidRPr="005B4123">
              <w:rPr>
                <w:rFonts w:ascii="Times New Roman" w:hAnsi="Times New Roman"/>
                <w:b/>
                <w:sz w:val="20"/>
                <w:szCs w:val="20"/>
              </w:rPr>
              <w:t>Excellence</w:t>
            </w:r>
          </w:p>
        </w:tc>
      </w:tr>
      <w:tr w:rsidR="005B4123" w:rsidRPr="005B4123" w14:paraId="1E2115C0" w14:textId="77777777" w:rsidTr="005B4123">
        <w:tc>
          <w:tcPr>
            <w:tcW w:w="817" w:type="dxa"/>
          </w:tcPr>
          <w:p w14:paraId="12D17D5F" w14:textId="77777777" w:rsidR="005B4123" w:rsidRPr="005B4123" w:rsidRDefault="005B4123" w:rsidP="00825176">
            <w:pPr>
              <w:pStyle w:val="aBodyText10mmhanging"/>
              <w:tabs>
                <w:tab w:val="clear" w:pos="567"/>
                <w:tab w:val="left" w:pos="0"/>
              </w:tabs>
              <w:spacing w:line="240" w:lineRule="auto"/>
              <w:ind w:left="0" w:firstLine="0"/>
              <w:rPr>
                <w:rFonts w:ascii="Times New Roman" w:hAnsi="Times New Roman"/>
                <w:b/>
                <w:sz w:val="20"/>
                <w:szCs w:val="20"/>
              </w:rPr>
            </w:pPr>
          </w:p>
        </w:tc>
        <w:tc>
          <w:tcPr>
            <w:tcW w:w="5505" w:type="dxa"/>
          </w:tcPr>
          <w:p w14:paraId="09C35C23" w14:textId="77777777" w:rsidR="005B4123" w:rsidRPr="005B4123" w:rsidRDefault="005B4123" w:rsidP="005B4123">
            <w:pPr>
              <w:pStyle w:val="text"/>
            </w:pPr>
            <w:r w:rsidRPr="005B4123">
              <w:t>Electronegativity is the ability of an atom in a compound to attract electrons to itself.</w:t>
            </w:r>
          </w:p>
        </w:tc>
        <w:tc>
          <w:tcPr>
            <w:tcW w:w="3161" w:type="dxa"/>
          </w:tcPr>
          <w:p w14:paraId="26B26E27" w14:textId="77777777" w:rsidR="005B4123" w:rsidRPr="005B4123" w:rsidRDefault="005B4123" w:rsidP="00825176">
            <w:pPr>
              <w:pStyle w:val="aBodyText10mmhanging"/>
              <w:tabs>
                <w:tab w:val="clear" w:pos="567"/>
                <w:tab w:val="left" w:pos="0"/>
              </w:tabs>
              <w:spacing w:line="240" w:lineRule="auto"/>
              <w:ind w:left="0" w:firstLine="0"/>
              <w:rPr>
                <w:rFonts w:ascii="Times New Roman" w:hAnsi="Times New Roman"/>
                <w:b/>
                <w:sz w:val="20"/>
                <w:szCs w:val="20"/>
              </w:rPr>
            </w:pPr>
          </w:p>
        </w:tc>
        <w:tc>
          <w:tcPr>
            <w:tcW w:w="3161" w:type="dxa"/>
          </w:tcPr>
          <w:p w14:paraId="263893EE" w14:textId="77777777" w:rsidR="005B4123" w:rsidRPr="005B4123" w:rsidRDefault="005B4123" w:rsidP="00825176">
            <w:pPr>
              <w:pStyle w:val="aBodyText10mmhanging"/>
              <w:tabs>
                <w:tab w:val="clear" w:pos="567"/>
                <w:tab w:val="left" w:pos="0"/>
              </w:tabs>
              <w:spacing w:line="240" w:lineRule="auto"/>
              <w:ind w:left="0" w:firstLine="0"/>
              <w:rPr>
                <w:rFonts w:ascii="Times New Roman" w:hAnsi="Times New Roman"/>
                <w:b/>
                <w:sz w:val="20"/>
                <w:szCs w:val="20"/>
              </w:rPr>
            </w:pPr>
          </w:p>
        </w:tc>
        <w:tc>
          <w:tcPr>
            <w:tcW w:w="3162" w:type="dxa"/>
          </w:tcPr>
          <w:p w14:paraId="638FC90E" w14:textId="77777777" w:rsidR="005B4123" w:rsidRPr="005B4123" w:rsidRDefault="005B4123" w:rsidP="00825176">
            <w:pPr>
              <w:pStyle w:val="aBodyText10mmhanging"/>
              <w:tabs>
                <w:tab w:val="clear" w:pos="567"/>
                <w:tab w:val="left" w:pos="0"/>
              </w:tabs>
              <w:spacing w:line="240" w:lineRule="auto"/>
              <w:ind w:left="0" w:firstLine="0"/>
              <w:rPr>
                <w:rFonts w:ascii="Times New Roman" w:hAnsi="Times New Roman"/>
                <w:b/>
                <w:sz w:val="20"/>
                <w:szCs w:val="20"/>
              </w:rPr>
            </w:pPr>
          </w:p>
        </w:tc>
      </w:tr>
    </w:tbl>
    <w:p w14:paraId="764C1D4B" w14:textId="77777777" w:rsidR="005B4123" w:rsidRDefault="005B4123" w:rsidP="00825176">
      <w:pPr>
        <w:pStyle w:val="aBodyText10mmhanging"/>
        <w:tabs>
          <w:tab w:val="clear" w:pos="567"/>
          <w:tab w:val="left" w:pos="0"/>
        </w:tabs>
        <w:spacing w:line="240" w:lineRule="auto"/>
        <w:ind w:left="0" w:firstLine="0"/>
        <w:rPr>
          <w:rFonts w:ascii="Times New Roman" w:hAnsi="Times New Roman"/>
          <w:b/>
        </w:rPr>
      </w:pPr>
    </w:p>
    <w:tbl>
      <w:tblPr>
        <w:tblStyle w:val="TableGrid"/>
        <w:tblW w:w="0" w:type="auto"/>
        <w:tblLook w:val="04A0" w:firstRow="1" w:lastRow="0" w:firstColumn="1" w:lastColumn="0" w:noHBand="0" w:noVBand="1"/>
      </w:tblPr>
      <w:tblGrid>
        <w:gridCol w:w="817"/>
        <w:gridCol w:w="5505"/>
        <w:gridCol w:w="3161"/>
        <w:gridCol w:w="3161"/>
        <w:gridCol w:w="3162"/>
      </w:tblGrid>
      <w:tr w:rsidR="00A03C18" w:rsidRPr="005B4123" w14:paraId="23A9357C" w14:textId="77777777" w:rsidTr="007C3F9D">
        <w:tc>
          <w:tcPr>
            <w:tcW w:w="817" w:type="dxa"/>
          </w:tcPr>
          <w:p w14:paraId="610CCF70" w14:textId="77777777" w:rsidR="00A03C18" w:rsidRPr="005B4123" w:rsidRDefault="00A03C18" w:rsidP="007C3F9D">
            <w:pPr>
              <w:pStyle w:val="aBodyText10mmhanging"/>
              <w:tabs>
                <w:tab w:val="clear" w:pos="567"/>
                <w:tab w:val="left" w:pos="0"/>
              </w:tabs>
              <w:spacing w:line="240" w:lineRule="auto"/>
              <w:ind w:left="0" w:firstLine="0"/>
              <w:jc w:val="center"/>
              <w:rPr>
                <w:rFonts w:ascii="Times New Roman" w:hAnsi="Times New Roman"/>
                <w:b/>
                <w:sz w:val="20"/>
                <w:szCs w:val="20"/>
              </w:rPr>
            </w:pPr>
            <w:r>
              <w:rPr>
                <w:rFonts w:ascii="Times New Roman" w:hAnsi="Times New Roman"/>
                <w:b/>
                <w:sz w:val="20"/>
                <w:szCs w:val="20"/>
              </w:rPr>
              <w:t>2013</w:t>
            </w:r>
          </w:p>
        </w:tc>
        <w:tc>
          <w:tcPr>
            <w:tcW w:w="5505" w:type="dxa"/>
          </w:tcPr>
          <w:p w14:paraId="437EEC01" w14:textId="77777777" w:rsidR="00A03C18" w:rsidRPr="005B4123" w:rsidRDefault="00A03C18" w:rsidP="007C3F9D">
            <w:pPr>
              <w:pStyle w:val="aBodyText10mmhanging"/>
              <w:tabs>
                <w:tab w:val="clear" w:pos="567"/>
                <w:tab w:val="left" w:pos="0"/>
              </w:tabs>
              <w:spacing w:line="240" w:lineRule="auto"/>
              <w:ind w:left="0" w:firstLine="0"/>
              <w:jc w:val="center"/>
              <w:rPr>
                <w:rFonts w:ascii="Times New Roman" w:hAnsi="Times New Roman"/>
                <w:b/>
                <w:sz w:val="20"/>
                <w:szCs w:val="20"/>
              </w:rPr>
            </w:pPr>
            <w:r w:rsidRPr="005B4123">
              <w:rPr>
                <w:rFonts w:ascii="Times New Roman" w:hAnsi="Times New Roman"/>
                <w:b/>
                <w:sz w:val="20"/>
                <w:szCs w:val="20"/>
              </w:rPr>
              <w:t>Evidence</w:t>
            </w:r>
          </w:p>
        </w:tc>
        <w:tc>
          <w:tcPr>
            <w:tcW w:w="3161" w:type="dxa"/>
          </w:tcPr>
          <w:p w14:paraId="7730C6EA" w14:textId="77777777" w:rsidR="00A03C18" w:rsidRPr="005B4123" w:rsidRDefault="00A03C18" w:rsidP="007C3F9D">
            <w:pPr>
              <w:pStyle w:val="aBodyText10mmhanging"/>
              <w:tabs>
                <w:tab w:val="clear" w:pos="567"/>
                <w:tab w:val="left" w:pos="0"/>
              </w:tabs>
              <w:spacing w:line="240" w:lineRule="auto"/>
              <w:ind w:left="0" w:firstLine="0"/>
              <w:jc w:val="center"/>
              <w:rPr>
                <w:rFonts w:ascii="Times New Roman" w:hAnsi="Times New Roman"/>
                <w:b/>
                <w:sz w:val="20"/>
                <w:szCs w:val="20"/>
              </w:rPr>
            </w:pPr>
            <w:r w:rsidRPr="005B4123">
              <w:rPr>
                <w:rFonts w:ascii="Times New Roman" w:hAnsi="Times New Roman"/>
                <w:b/>
                <w:sz w:val="20"/>
                <w:szCs w:val="20"/>
              </w:rPr>
              <w:t>Achievement</w:t>
            </w:r>
          </w:p>
        </w:tc>
        <w:tc>
          <w:tcPr>
            <w:tcW w:w="3161" w:type="dxa"/>
          </w:tcPr>
          <w:p w14:paraId="254BF612" w14:textId="77777777" w:rsidR="00A03C18" w:rsidRPr="005B4123" w:rsidRDefault="00A03C18" w:rsidP="007C3F9D">
            <w:pPr>
              <w:pStyle w:val="aBodyText10mmhanging"/>
              <w:tabs>
                <w:tab w:val="clear" w:pos="567"/>
                <w:tab w:val="left" w:pos="0"/>
              </w:tabs>
              <w:spacing w:line="240" w:lineRule="auto"/>
              <w:ind w:left="0" w:firstLine="0"/>
              <w:jc w:val="center"/>
              <w:rPr>
                <w:rFonts w:ascii="Times New Roman" w:hAnsi="Times New Roman"/>
                <w:b/>
                <w:sz w:val="20"/>
                <w:szCs w:val="20"/>
              </w:rPr>
            </w:pPr>
            <w:r w:rsidRPr="005B4123">
              <w:rPr>
                <w:rFonts w:ascii="Times New Roman" w:hAnsi="Times New Roman"/>
                <w:b/>
                <w:sz w:val="20"/>
                <w:szCs w:val="20"/>
              </w:rPr>
              <w:t>Merit</w:t>
            </w:r>
          </w:p>
        </w:tc>
        <w:tc>
          <w:tcPr>
            <w:tcW w:w="3162" w:type="dxa"/>
          </w:tcPr>
          <w:p w14:paraId="6E2BDC24" w14:textId="77777777" w:rsidR="00A03C18" w:rsidRPr="005B4123" w:rsidRDefault="00A03C18" w:rsidP="007C3F9D">
            <w:pPr>
              <w:pStyle w:val="aBodyText10mmhanging"/>
              <w:tabs>
                <w:tab w:val="clear" w:pos="567"/>
                <w:tab w:val="left" w:pos="0"/>
              </w:tabs>
              <w:spacing w:line="240" w:lineRule="auto"/>
              <w:ind w:left="0" w:firstLine="0"/>
              <w:jc w:val="center"/>
              <w:rPr>
                <w:rFonts w:ascii="Times New Roman" w:hAnsi="Times New Roman"/>
                <w:b/>
                <w:sz w:val="20"/>
                <w:szCs w:val="20"/>
              </w:rPr>
            </w:pPr>
            <w:r w:rsidRPr="005B4123">
              <w:rPr>
                <w:rFonts w:ascii="Times New Roman" w:hAnsi="Times New Roman"/>
                <w:b/>
                <w:sz w:val="20"/>
                <w:szCs w:val="20"/>
              </w:rPr>
              <w:t>Excellence</w:t>
            </w:r>
          </w:p>
        </w:tc>
      </w:tr>
      <w:tr w:rsidR="00A03C18" w:rsidRPr="005B4123" w14:paraId="74BBFEF8" w14:textId="77777777" w:rsidTr="007C3F9D">
        <w:tc>
          <w:tcPr>
            <w:tcW w:w="817" w:type="dxa"/>
          </w:tcPr>
          <w:p w14:paraId="2D7598CF" w14:textId="77777777" w:rsidR="00A03C18" w:rsidRPr="005B4123" w:rsidRDefault="00A03C18" w:rsidP="007C3F9D">
            <w:pPr>
              <w:pStyle w:val="aBodyText10mmhanging"/>
              <w:tabs>
                <w:tab w:val="clear" w:pos="567"/>
                <w:tab w:val="left" w:pos="0"/>
              </w:tabs>
              <w:spacing w:line="240" w:lineRule="auto"/>
              <w:ind w:left="0" w:firstLine="0"/>
              <w:rPr>
                <w:rFonts w:ascii="Times New Roman" w:hAnsi="Times New Roman"/>
                <w:b/>
                <w:sz w:val="20"/>
                <w:szCs w:val="20"/>
              </w:rPr>
            </w:pPr>
          </w:p>
        </w:tc>
        <w:tc>
          <w:tcPr>
            <w:tcW w:w="5505" w:type="dxa"/>
          </w:tcPr>
          <w:p w14:paraId="137410F9" w14:textId="77777777" w:rsidR="00A03C18" w:rsidRPr="005B4123" w:rsidRDefault="00A03C18" w:rsidP="00A03C18">
            <w:pPr>
              <w:spacing w:after="60"/>
              <w:rPr>
                <w:sz w:val="20"/>
                <w:szCs w:val="20"/>
              </w:rPr>
            </w:pPr>
            <w:proofErr w:type="spellStart"/>
            <w:r w:rsidRPr="00315AAD">
              <w:rPr>
                <w:sz w:val="20"/>
                <w:szCs w:val="20"/>
              </w:rPr>
              <w:t>Se</w:t>
            </w:r>
            <w:proofErr w:type="spellEnd"/>
            <w:r w:rsidRPr="00315AAD">
              <w:rPr>
                <w:sz w:val="20"/>
                <w:szCs w:val="20"/>
              </w:rPr>
              <w:t xml:space="preserve"> </w:t>
            </w:r>
            <w:r>
              <w:rPr>
                <w:sz w:val="20"/>
                <w:szCs w:val="20"/>
              </w:rPr>
              <w:t xml:space="preserve">has </w:t>
            </w:r>
            <w:r w:rsidRPr="00315AAD">
              <w:rPr>
                <w:sz w:val="20"/>
                <w:szCs w:val="20"/>
              </w:rPr>
              <w:t>more shells/electrons in energy level</w:t>
            </w:r>
            <w:r>
              <w:rPr>
                <w:sz w:val="20"/>
                <w:szCs w:val="20"/>
              </w:rPr>
              <w:t>s</w:t>
            </w:r>
            <w:r w:rsidRPr="00315AAD">
              <w:rPr>
                <w:sz w:val="20"/>
                <w:szCs w:val="20"/>
              </w:rPr>
              <w:t xml:space="preserve"> further from the nucleus than O, with increased shielding from inner shells. This means there is a weaker electrostatic attraction between the nucleus and the bonded electrons, so </w:t>
            </w:r>
            <w:proofErr w:type="spellStart"/>
            <w:r w:rsidRPr="00315AAD">
              <w:rPr>
                <w:sz w:val="20"/>
                <w:szCs w:val="20"/>
              </w:rPr>
              <w:t>Se</w:t>
            </w:r>
            <w:proofErr w:type="spellEnd"/>
            <w:r w:rsidRPr="00315AAD">
              <w:rPr>
                <w:sz w:val="20"/>
                <w:szCs w:val="20"/>
              </w:rPr>
              <w:t xml:space="preserve"> has a l</w:t>
            </w:r>
            <w:r>
              <w:rPr>
                <w:sz w:val="20"/>
                <w:szCs w:val="20"/>
              </w:rPr>
              <w:t>ower electronegativity than O.</w:t>
            </w:r>
          </w:p>
        </w:tc>
        <w:tc>
          <w:tcPr>
            <w:tcW w:w="3161" w:type="dxa"/>
          </w:tcPr>
          <w:p w14:paraId="66BBD6C7" w14:textId="77777777" w:rsidR="00A03C18" w:rsidRPr="005B4123" w:rsidRDefault="00A03C18" w:rsidP="007C3F9D">
            <w:pPr>
              <w:pStyle w:val="aBodyText10mmhanging"/>
              <w:tabs>
                <w:tab w:val="clear" w:pos="567"/>
                <w:tab w:val="left" w:pos="0"/>
              </w:tabs>
              <w:spacing w:line="240" w:lineRule="auto"/>
              <w:ind w:left="0" w:firstLine="0"/>
              <w:rPr>
                <w:rFonts w:ascii="Times New Roman" w:hAnsi="Times New Roman"/>
                <w:b/>
                <w:sz w:val="20"/>
                <w:szCs w:val="20"/>
              </w:rPr>
            </w:pPr>
          </w:p>
        </w:tc>
        <w:tc>
          <w:tcPr>
            <w:tcW w:w="3161" w:type="dxa"/>
          </w:tcPr>
          <w:p w14:paraId="4F2B8495" w14:textId="77777777" w:rsidR="00A03C18" w:rsidRPr="005B4123" w:rsidRDefault="00A03C18" w:rsidP="007C3F9D">
            <w:pPr>
              <w:pStyle w:val="aBodyText10mmhanging"/>
              <w:tabs>
                <w:tab w:val="clear" w:pos="567"/>
                <w:tab w:val="left" w:pos="0"/>
              </w:tabs>
              <w:spacing w:line="240" w:lineRule="auto"/>
              <w:ind w:left="0" w:firstLine="0"/>
              <w:rPr>
                <w:rFonts w:ascii="Times New Roman" w:hAnsi="Times New Roman"/>
                <w:b/>
                <w:sz w:val="20"/>
                <w:szCs w:val="20"/>
              </w:rPr>
            </w:pPr>
          </w:p>
        </w:tc>
        <w:tc>
          <w:tcPr>
            <w:tcW w:w="3162" w:type="dxa"/>
          </w:tcPr>
          <w:p w14:paraId="538A1E5F" w14:textId="77777777" w:rsidR="00A03C18" w:rsidRPr="005B4123" w:rsidRDefault="00A03C18" w:rsidP="007C3F9D">
            <w:pPr>
              <w:pStyle w:val="aBodyText10mmhanging"/>
              <w:tabs>
                <w:tab w:val="clear" w:pos="567"/>
                <w:tab w:val="left" w:pos="0"/>
              </w:tabs>
              <w:spacing w:line="240" w:lineRule="auto"/>
              <w:ind w:left="0" w:firstLine="0"/>
              <w:rPr>
                <w:rFonts w:ascii="Times New Roman" w:hAnsi="Times New Roman"/>
                <w:b/>
                <w:sz w:val="20"/>
                <w:szCs w:val="20"/>
              </w:rPr>
            </w:pPr>
          </w:p>
        </w:tc>
      </w:tr>
    </w:tbl>
    <w:p w14:paraId="6B3175D7" w14:textId="77777777" w:rsidR="005B4123" w:rsidRDefault="005B4123" w:rsidP="00825176">
      <w:pPr>
        <w:pStyle w:val="aBodyText10mmhanging"/>
        <w:tabs>
          <w:tab w:val="clear" w:pos="567"/>
          <w:tab w:val="left" w:pos="0"/>
        </w:tabs>
        <w:spacing w:line="240" w:lineRule="auto"/>
        <w:ind w:left="0" w:firstLine="0"/>
        <w:rPr>
          <w:rFonts w:ascii="Times New Roman" w:hAnsi="Times New Roman"/>
          <w:b/>
        </w:rPr>
      </w:pPr>
    </w:p>
    <w:p w14:paraId="63829BC9" w14:textId="77777777" w:rsidR="005B4123" w:rsidRDefault="005B4123" w:rsidP="00825176">
      <w:pPr>
        <w:pStyle w:val="aBodyText10mmhanging"/>
        <w:tabs>
          <w:tab w:val="clear" w:pos="567"/>
          <w:tab w:val="left" w:pos="0"/>
        </w:tabs>
        <w:spacing w:line="240" w:lineRule="auto"/>
        <w:ind w:left="0" w:firstLine="0"/>
        <w:rPr>
          <w:rFonts w:ascii="Times New Roman" w:hAnsi="Times New Roman"/>
          <w:b/>
        </w:rPr>
      </w:pPr>
    </w:p>
    <w:p w14:paraId="249F5067" w14:textId="77777777" w:rsidR="005B4123" w:rsidRDefault="005B4123" w:rsidP="00825176">
      <w:pPr>
        <w:pStyle w:val="aBodyText10mmhanging"/>
        <w:tabs>
          <w:tab w:val="clear" w:pos="567"/>
          <w:tab w:val="left" w:pos="0"/>
        </w:tabs>
        <w:spacing w:line="240" w:lineRule="auto"/>
        <w:ind w:left="0" w:firstLine="0"/>
        <w:rPr>
          <w:rFonts w:ascii="Times New Roman" w:hAnsi="Times New Roman"/>
          <w:b/>
        </w:rPr>
      </w:pPr>
    </w:p>
    <w:p w14:paraId="62C196B8" w14:textId="77777777" w:rsidR="00A03C18" w:rsidRDefault="00A03C18" w:rsidP="00F5537F">
      <w:pPr>
        <w:ind w:left="57"/>
      </w:pPr>
    </w:p>
    <w:p w14:paraId="37BFFFF7" w14:textId="77777777" w:rsidR="00A03C18" w:rsidRDefault="00A03C18" w:rsidP="00F5537F">
      <w:pPr>
        <w:ind w:left="57"/>
      </w:pPr>
    </w:p>
    <w:p w14:paraId="5BCB6884" w14:textId="77777777" w:rsidR="00585248" w:rsidRDefault="00585248" w:rsidP="00F5537F">
      <w:pPr>
        <w:ind w:left="57"/>
      </w:pPr>
    </w:p>
    <w:p w14:paraId="25757C3A" w14:textId="5245F45D" w:rsidR="00F5537F" w:rsidRDefault="00A03C18" w:rsidP="00CE0C3F">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r>
        <w:rPr>
          <w:rFonts w:ascii="Times New Roman" w:hAnsi="Times New Roman"/>
          <w:sz w:val="20"/>
          <w:szCs w:val="20"/>
        </w:rPr>
        <w:t xml:space="preserve">©  </w:t>
      </w:r>
      <w:hyperlink r:id="rId6" w:history="1">
        <w:r w:rsidRPr="00A5386A">
          <w:rPr>
            <w:rStyle w:val="Hyperlink"/>
            <w:rFonts w:ascii="Times New Roman" w:hAnsi="Times New Roman"/>
            <w:sz w:val="20"/>
            <w:szCs w:val="20"/>
          </w:rPr>
          <w:t>https://www.chemical-minds.com</w:t>
        </w:r>
      </w:hyperlink>
    </w:p>
    <w:p w14:paraId="272B829B" w14:textId="77777777" w:rsidR="00F5537F" w:rsidRPr="00F5537F" w:rsidRDefault="00F5537F" w:rsidP="00CE0C3F">
      <w:pPr>
        <w:jc w:val="right"/>
        <w:rPr>
          <w:sz w:val="20"/>
          <w:szCs w:val="20"/>
        </w:rPr>
      </w:pPr>
      <w:r w:rsidRPr="00C73A3C">
        <w:rPr>
          <w:sz w:val="20"/>
          <w:szCs w:val="20"/>
        </w:rPr>
        <w:t>NCEA questions and answers repr</w:t>
      </w:r>
      <w:r>
        <w:rPr>
          <w:sz w:val="20"/>
          <w:szCs w:val="20"/>
        </w:rPr>
        <w:t>oduced with permission from NZ</w:t>
      </w:r>
    </w:p>
    <w:sectPr w:rsidR="00F5537F" w:rsidRPr="00F5537F" w:rsidSect="005B4123">
      <w:pgSz w:w="16838" w:h="11906" w:orient="landscape"/>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TimesNewRomanPSMT">
    <w:altName w:val="Times New Roman"/>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61AE0"/>
    <w:multiLevelType w:val="hybridMultilevel"/>
    <w:tmpl w:val="5512E752"/>
    <w:lvl w:ilvl="0" w:tplc="C37E66D0">
      <w:start w:val="1"/>
      <w:numFmt w:val="bullet"/>
      <w:pStyle w:val="textbullet"/>
      <w:lvlText w:val=""/>
      <w:lvlJc w:val="left"/>
      <w:pPr>
        <w:ind w:left="890" w:hanging="360"/>
      </w:pPr>
      <w:rPr>
        <w:rFonts w:ascii="Symbol" w:hAnsi="Symbol" w:hint="default"/>
        <w:sz w:val="14"/>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num w:numId="1" w16cid:durableId="3034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5537F"/>
    <w:rsid w:val="000054C4"/>
    <w:rsid w:val="000D743B"/>
    <w:rsid w:val="001E7800"/>
    <w:rsid w:val="001F3090"/>
    <w:rsid w:val="005077DB"/>
    <w:rsid w:val="00585248"/>
    <w:rsid w:val="005B4123"/>
    <w:rsid w:val="00600C6E"/>
    <w:rsid w:val="00825176"/>
    <w:rsid w:val="008973ED"/>
    <w:rsid w:val="009C5A8D"/>
    <w:rsid w:val="00A03C18"/>
    <w:rsid w:val="00B16F13"/>
    <w:rsid w:val="00B81DB9"/>
    <w:rsid w:val="00BB6AC4"/>
    <w:rsid w:val="00C22A75"/>
    <w:rsid w:val="00CE0C3F"/>
    <w:rsid w:val="00E444CD"/>
    <w:rsid w:val="00F553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F672"/>
  <w15:docId w15:val="{0DA9B25C-684A-4104-AD47-37767FE7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37F"/>
    <w:rPr>
      <w:b/>
      <w:bCs/>
    </w:rPr>
  </w:style>
  <w:style w:type="character" w:styleId="Hyperlink">
    <w:name w:val="Hyperlink"/>
    <w:basedOn w:val="DefaultParagraphFont"/>
    <w:uiPriority w:val="99"/>
    <w:unhideWhenUsed/>
    <w:rsid w:val="00F5537F"/>
    <w:rPr>
      <w:color w:val="0000FF" w:themeColor="hyperlink"/>
      <w:u w:val="single"/>
    </w:rPr>
  </w:style>
  <w:style w:type="paragraph" w:styleId="BodyText">
    <w:name w:val="Body Text"/>
    <w:basedOn w:val="Normal"/>
    <w:link w:val="BodyTextChar"/>
    <w:rsid w:val="00F5537F"/>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F5537F"/>
    <w:rPr>
      <w:rFonts w:ascii="ArialMT" w:eastAsia="Times New Roman" w:hAnsi="ArialMT"/>
      <w:color w:val="000000"/>
      <w:sz w:val="22"/>
      <w:szCs w:val="22"/>
      <w:lang w:val="en-US"/>
    </w:rPr>
  </w:style>
  <w:style w:type="paragraph" w:customStyle="1" w:styleId="aBodyText10mmhanging">
    <w:name w:val="(a) Body Text (10mm hanging)"/>
    <w:basedOn w:val="Normal"/>
    <w:rsid w:val="0082517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ind w:left="567" w:hanging="567"/>
      <w:textAlignment w:val="center"/>
    </w:pPr>
    <w:rPr>
      <w:rFonts w:ascii="TimesNewRomanPSMT" w:eastAsia="Times New Roman" w:hAnsi="TimesNewRomanPSMT"/>
      <w:color w:val="000000"/>
      <w:lang w:val="en-US"/>
    </w:rPr>
  </w:style>
  <w:style w:type="paragraph" w:customStyle="1" w:styleId="text">
    <w:name w:val="text"/>
    <w:basedOn w:val="Normal"/>
    <w:qFormat/>
    <w:rsid w:val="005B4123"/>
    <w:pPr>
      <w:widowControl w:val="0"/>
      <w:autoSpaceDE w:val="0"/>
      <w:autoSpaceDN w:val="0"/>
      <w:adjustRightInd w:val="0"/>
      <w:spacing w:after="60"/>
    </w:pPr>
    <w:rPr>
      <w:rFonts w:eastAsia="Times New Roman" w:cs="Arial"/>
      <w:sz w:val="20"/>
      <w:szCs w:val="20"/>
      <w:lang w:val="en-GB" w:eastAsia="en-NZ"/>
    </w:rPr>
  </w:style>
  <w:style w:type="paragraph" w:customStyle="1" w:styleId="textbullet">
    <w:name w:val="text bullet"/>
    <w:basedOn w:val="Normal"/>
    <w:qFormat/>
    <w:rsid w:val="005B4123"/>
    <w:pPr>
      <w:widowControl w:val="0"/>
      <w:numPr>
        <w:numId w:val="1"/>
      </w:numPr>
      <w:autoSpaceDE w:val="0"/>
      <w:autoSpaceDN w:val="0"/>
      <w:spacing w:after="60"/>
      <w:ind w:left="220" w:hanging="220"/>
    </w:pPr>
    <w:rPr>
      <w:rFonts w:eastAsia="Times New Roman"/>
      <w:sz w:val="20"/>
      <w:szCs w:val="20"/>
      <w:lang w:val="en-AU"/>
    </w:rPr>
  </w:style>
  <w:style w:type="table" w:styleId="TableGrid">
    <w:name w:val="Table Grid"/>
    <w:basedOn w:val="TableNormal"/>
    <w:uiPriority w:val="59"/>
    <w:rsid w:val="005B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mical-mind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8</cp:revision>
  <dcterms:created xsi:type="dcterms:W3CDTF">2013-05-23T08:34:00Z</dcterms:created>
  <dcterms:modified xsi:type="dcterms:W3CDTF">2023-10-10T22:55:00Z</dcterms:modified>
</cp:coreProperties>
</file>