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23D76" w14:textId="3DCA3BFF" w:rsidR="00945086" w:rsidRDefault="00CE2142" w:rsidP="00945086">
      <w:pPr>
        <w:jc w:val="center"/>
        <w:rPr>
          <w:sz w:val="28"/>
          <w:szCs w:val="28"/>
        </w:rPr>
      </w:pPr>
      <w:r w:rsidRPr="00945086">
        <w:rPr>
          <w:color w:val="FF0000"/>
          <w:sz w:val="28"/>
          <w:szCs w:val="28"/>
        </w:rPr>
        <w:t>ANSWERS:</w:t>
      </w:r>
      <w:r w:rsidRPr="00945086">
        <w:rPr>
          <w:sz w:val="28"/>
          <w:szCs w:val="28"/>
        </w:rPr>
        <w:t xml:space="preserve"> Enthalpy change</w:t>
      </w:r>
      <w:r w:rsidR="000706EE">
        <w:rPr>
          <w:sz w:val="28"/>
          <w:szCs w:val="28"/>
        </w:rPr>
        <w:t>s</w:t>
      </w:r>
    </w:p>
    <w:p w14:paraId="772CBB85" w14:textId="51AD8E4C" w:rsidR="00461020" w:rsidRDefault="00461020" w:rsidP="00945086">
      <w:pPr>
        <w:jc w:val="cente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75"/>
        <w:gridCol w:w="6134"/>
        <w:gridCol w:w="3004"/>
        <w:gridCol w:w="2748"/>
        <w:gridCol w:w="2748"/>
      </w:tblGrid>
      <w:tr w:rsidR="000706EE" w:rsidRPr="002D5512" w14:paraId="03D820F0" w14:textId="77777777" w:rsidTr="004A7358">
        <w:trPr>
          <w:cantSplit/>
        </w:trPr>
        <w:tc>
          <w:tcPr>
            <w:tcW w:w="675" w:type="dxa"/>
            <w:tcBorders>
              <w:bottom w:val="single" w:sz="4" w:space="0" w:color="auto"/>
            </w:tcBorders>
            <w:vAlign w:val="center"/>
          </w:tcPr>
          <w:p w14:paraId="13805BC8" w14:textId="2952D95F" w:rsidR="000706EE" w:rsidRPr="00EB1FAF" w:rsidRDefault="000706EE" w:rsidP="004A7358">
            <w:pPr>
              <w:jc w:val="center"/>
              <w:rPr>
                <w:b/>
                <w:sz w:val="20"/>
                <w:szCs w:val="20"/>
              </w:rPr>
            </w:pPr>
            <w:r>
              <w:rPr>
                <w:b/>
                <w:sz w:val="20"/>
                <w:szCs w:val="20"/>
              </w:rPr>
              <w:t>201</w:t>
            </w:r>
            <w:r>
              <w:rPr>
                <w:b/>
                <w:sz w:val="20"/>
                <w:szCs w:val="20"/>
              </w:rPr>
              <w:t>9</w:t>
            </w:r>
          </w:p>
        </w:tc>
        <w:tc>
          <w:tcPr>
            <w:tcW w:w="6134" w:type="dxa"/>
            <w:tcBorders>
              <w:bottom w:val="single" w:sz="4" w:space="0" w:color="auto"/>
            </w:tcBorders>
            <w:vAlign w:val="center"/>
          </w:tcPr>
          <w:p w14:paraId="3E4DBB6F" w14:textId="77777777" w:rsidR="000706EE" w:rsidRPr="00EB1FAF" w:rsidRDefault="000706EE" w:rsidP="004A7358">
            <w:pPr>
              <w:jc w:val="center"/>
              <w:rPr>
                <w:b/>
                <w:sz w:val="20"/>
                <w:szCs w:val="20"/>
              </w:rPr>
            </w:pPr>
            <w:r w:rsidRPr="00EB1FAF">
              <w:rPr>
                <w:b/>
                <w:sz w:val="20"/>
                <w:szCs w:val="20"/>
              </w:rPr>
              <w:t>Evidence</w:t>
            </w:r>
          </w:p>
        </w:tc>
        <w:tc>
          <w:tcPr>
            <w:tcW w:w="3004" w:type="dxa"/>
            <w:tcBorders>
              <w:bottom w:val="single" w:sz="4" w:space="0" w:color="auto"/>
            </w:tcBorders>
            <w:vAlign w:val="center"/>
          </w:tcPr>
          <w:p w14:paraId="471C5882" w14:textId="77777777" w:rsidR="000706EE" w:rsidRPr="00EB1FAF" w:rsidRDefault="000706EE" w:rsidP="004A7358">
            <w:pPr>
              <w:jc w:val="center"/>
              <w:rPr>
                <w:b/>
                <w:sz w:val="20"/>
                <w:szCs w:val="20"/>
              </w:rPr>
            </w:pPr>
            <w:r w:rsidRPr="00EB1FAF">
              <w:rPr>
                <w:b/>
                <w:sz w:val="20"/>
                <w:szCs w:val="20"/>
              </w:rPr>
              <w:t>Achievement</w:t>
            </w:r>
          </w:p>
        </w:tc>
        <w:tc>
          <w:tcPr>
            <w:tcW w:w="2748" w:type="dxa"/>
            <w:tcBorders>
              <w:bottom w:val="single" w:sz="4" w:space="0" w:color="auto"/>
            </w:tcBorders>
            <w:vAlign w:val="center"/>
          </w:tcPr>
          <w:p w14:paraId="257C3C22" w14:textId="2A014F77" w:rsidR="000706EE" w:rsidRPr="00EB1FAF" w:rsidRDefault="000706EE" w:rsidP="004A7358">
            <w:pPr>
              <w:jc w:val="center"/>
              <w:rPr>
                <w:b/>
                <w:sz w:val="20"/>
                <w:szCs w:val="20"/>
              </w:rPr>
            </w:pPr>
            <w:r w:rsidRPr="00EB1FAF">
              <w:rPr>
                <w:b/>
                <w:sz w:val="20"/>
                <w:szCs w:val="20"/>
              </w:rPr>
              <w:t>Merit</w:t>
            </w:r>
          </w:p>
        </w:tc>
        <w:tc>
          <w:tcPr>
            <w:tcW w:w="2748" w:type="dxa"/>
            <w:tcBorders>
              <w:bottom w:val="single" w:sz="4" w:space="0" w:color="auto"/>
            </w:tcBorders>
            <w:vAlign w:val="center"/>
          </w:tcPr>
          <w:p w14:paraId="2A1BB414" w14:textId="0248472C" w:rsidR="000706EE" w:rsidRPr="00EB1FAF" w:rsidRDefault="000706EE" w:rsidP="004A7358">
            <w:pPr>
              <w:jc w:val="center"/>
              <w:rPr>
                <w:b/>
                <w:sz w:val="20"/>
                <w:szCs w:val="20"/>
              </w:rPr>
            </w:pPr>
            <w:r w:rsidRPr="00EB1FAF">
              <w:rPr>
                <w:b/>
                <w:sz w:val="20"/>
                <w:szCs w:val="20"/>
              </w:rPr>
              <w:t>Excellence</w:t>
            </w:r>
          </w:p>
        </w:tc>
      </w:tr>
      <w:tr w:rsidR="000706EE" w:rsidRPr="002D5512" w14:paraId="33F2419A" w14:textId="77777777" w:rsidTr="004A7358">
        <w:trPr>
          <w:cantSplit/>
        </w:trPr>
        <w:tc>
          <w:tcPr>
            <w:tcW w:w="675" w:type="dxa"/>
            <w:tcBorders>
              <w:top w:val="nil"/>
              <w:bottom w:val="single" w:sz="4" w:space="0" w:color="auto"/>
            </w:tcBorders>
          </w:tcPr>
          <w:p w14:paraId="2672EF30" w14:textId="646FE88E" w:rsidR="000706EE" w:rsidRPr="002D5512" w:rsidRDefault="000706EE" w:rsidP="004A7358">
            <w:pPr>
              <w:jc w:val="center"/>
              <w:rPr>
                <w:sz w:val="20"/>
                <w:szCs w:val="20"/>
              </w:rPr>
            </w:pPr>
            <w:r w:rsidRPr="002D5512">
              <w:rPr>
                <w:sz w:val="20"/>
                <w:szCs w:val="20"/>
              </w:rPr>
              <w:t>(</w:t>
            </w:r>
            <w:r>
              <w:rPr>
                <w:sz w:val="20"/>
                <w:szCs w:val="20"/>
              </w:rPr>
              <w:t>a)</w:t>
            </w:r>
          </w:p>
        </w:tc>
        <w:tc>
          <w:tcPr>
            <w:tcW w:w="6134" w:type="dxa"/>
            <w:tcBorders>
              <w:top w:val="nil"/>
              <w:bottom w:val="single" w:sz="4" w:space="0" w:color="auto"/>
            </w:tcBorders>
          </w:tcPr>
          <w:p w14:paraId="659751AF" w14:textId="77777777" w:rsidR="000706EE" w:rsidRDefault="000706EE" w:rsidP="000706E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Endothermic since energy is required to break the intermolecular forces</w:t>
            </w:r>
          </w:p>
          <w:p w14:paraId="4117BC00" w14:textId="79258727" w:rsidR="000706EE" w:rsidRPr="00461020" w:rsidRDefault="000706EE" w:rsidP="000706EE">
            <w:pPr>
              <w:autoSpaceDE w:val="0"/>
              <w:autoSpaceDN w:val="0"/>
              <w:adjustRightInd w:val="0"/>
              <w:rPr>
                <w:sz w:val="20"/>
                <w:szCs w:val="20"/>
                <w:lang w:val="en-US"/>
              </w:rPr>
            </w:pPr>
            <w:r>
              <w:rPr>
                <w:rFonts w:ascii="TimesNewRomanPSMT" w:hAnsi="TimesNewRomanPSMT" w:cs="TimesNewRomanPSMT"/>
                <w:sz w:val="20"/>
                <w:szCs w:val="20"/>
              </w:rPr>
              <w:t>between the molecules in the liquid state</w:t>
            </w:r>
          </w:p>
        </w:tc>
        <w:tc>
          <w:tcPr>
            <w:tcW w:w="3004" w:type="dxa"/>
            <w:tcBorders>
              <w:top w:val="nil"/>
              <w:bottom w:val="single" w:sz="4" w:space="0" w:color="auto"/>
            </w:tcBorders>
          </w:tcPr>
          <w:p w14:paraId="786DBFEB" w14:textId="77777777" w:rsidR="000706EE" w:rsidRDefault="000706EE" w:rsidP="000706E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Correct answer with some</w:t>
            </w:r>
          </w:p>
          <w:p w14:paraId="07028A8A" w14:textId="25688273" w:rsidR="000706EE" w:rsidRPr="002D5512" w:rsidRDefault="000706EE" w:rsidP="000706EE">
            <w:pPr>
              <w:pStyle w:val="textbullet"/>
              <w:numPr>
                <w:ilvl w:val="0"/>
                <w:numId w:val="0"/>
              </w:numPr>
              <w:spacing w:after="0"/>
            </w:pPr>
            <w:r>
              <w:rPr>
                <w:rFonts w:ascii="TimesNewRomanPSMT" w:hAnsi="TimesNewRomanPSMT" w:cs="TimesNewRomanPSMT"/>
              </w:rPr>
              <w:t>reasoning.</w:t>
            </w:r>
          </w:p>
        </w:tc>
        <w:tc>
          <w:tcPr>
            <w:tcW w:w="2748" w:type="dxa"/>
            <w:tcBorders>
              <w:top w:val="nil"/>
              <w:bottom w:val="single" w:sz="4" w:space="0" w:color="auto"/>
            </w:tcBorders>
          </w:tcPr>
          <w:p w14:paraId="0789766D" w14:textId="6D33205E" w:rsidR="000706EE" w:rsidRPr="000706EE" w:rsidRDefault="000706EE" w:rsidP="004A7358">
            <w:pPr>
              <w:pStyle w:val="textbullet"/>
              <w:numPr>
                <w:ilvl w:val="0"/>
                <w:numId w:val="0"/>
              </w:numPr>
              <w:spacing w:after="0"/>
              <w:rPr>
                <w:b/>
                <w:bCs/>
              </w:rPr>
            </w:pPr>
            <w:r>
              <w:rPr>
                <w:rFonts w:ascii="TimesNewRomanPSMT" w:hAnsi="TimesNewRomanPSMT" w:cs="TimesNewRomanPSMT"/>
              </w:rPr>
              <w:t>Full explanation.</w:t>
            </w:r>
          </w:p>
        </w:tc>
        <w:tc>
          <w:tcPr>
            <w:tcW w:w="2748" w:type="dxa"/>
            <w:tcBorders>
              <w:top w:val="nil"/>
              <w:bottom w:val="single" w:sz="4" w:space="0" w:color="auto"/>
            </w:tcBorders>
          </w:tcPr>
          <w:p w14:paraId="3F90E01B" w14:textId="77777777" w:rsidR="000706EE" w:rsidRPr="002D5512" w:rsidRDefault="000706EE" w:rsidP="004A7358">
            <w:pPr>
              <w:pStyle w:val="textbullet"/>
              <w:numPr>
                <w:ilvl w:val="0"/>
                <w:numId w:val="0"/>
              </w:numPr>
              <w:spacing w:after="0"/>
              <w:ind w:left="170"/>
            </w:pPr>
          </w:p>
        </w:tc>
      </w:tr>
    </w:tbl>
    <w:p w14:paraId="0A38E1D7" w14:textId="7DB6E4F4" w:rsidR="000706EE" w:rsidRDefault="000706EE" w:rsidP="00945086">
      <w:pPr>
        <w:jc w:val="cente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75"/>
        <w:gridCol w:w="6134"/>
        <w:gridCol w:w="3004"/>
        <w:gridCol w:w="2748"/>
        <w:gridCol w:w="2748"/>
      </w:tblGrid>
      <w:tr w:rsidR="000706EE" w:rsidRPr="002D5512" w14:paraId="75487C3B" w14:textId="77777777" w:rsidTr="004A7358">
        <w:trPr>
          <w:cantSplit/>
        </w:trPr>
        <w:tc>
          <w:tcPr>
            <w:tcW w:w="675" w:type="dxa"/>
            <w:tcBorders>
              <w:bottom w:val="single" w:sz="4" w:space="0" w:color="auto"/>
            </w:tcBorders>
            <w:vAlign w:val="center"/>
          </w:tcPr>
          <w:p w14:paraId="2E8703B3" w14:textId="7ACE6F1C" w:rsidR="000706EE" w:rsidRPr="00EB1FAF" w:rsidRDefault="000706EE" w:rsidP="004A7358">
            <w:pPr>
              <w:jc w:val="center"/>
              <w:rPr>
                <w:b/>
                <w:sz w:val="20"/>
                <w:szCs w:val="20"/>
              </w:rPr>
            </w:pPr>
            <w:r>
              <w:rPr>
                <w:b/>
                <w:sz w:val="20"/>
                <w:szCs w:val="20"/>
              </w:rPr>
              <w:t>201</w:t>
            </w:r>
            <w:r>
              <w:rPr>
                <w:b/>
                <w:sz w:val="20"/>
                <w:szCs w:val="20"/>
              </w:rPr>
              <w:t>8</w:t>
            </w:r>
          </w:p>
        </w:tc>
        <w:tc>
          <w:tcPr>
            <w:tcW w:w="6134" w:type="dxa"/>
            <w:tcBorders>
              <w:bottom w:val="single" w:sz="4" w:space="0" w:color="auto"/>
            </w:tcBorders>
            <w:vAlign w:val="center"/>
          </w:tcPr>
          <w:p w14:paraId="0CA5B9FB" w14:textId="77777777" w:rsidR="000706EE" w:rsidRPr="00EB1FAF" w:rsidRDefault="000706EE" w:rsidP="004A7358">
            <w:pPr>
              <w:jc w:val="center"/>
              <w:rPr>
                <w:b/>
                <w:sz w:val="20"/>
                <w:szCs w:val="20"/>
              </w:rPr>
            </w:pPr>
            <w:r w:rsidRPr="00EB1FAF">
              <w:rPr>
                <w:b/>
                <w:sz w:val="20"/>
                <w:szCs w:val="20"/>
              </w:rPr>
              <w:t>Evidence</w:t>
            </w:r>
          </w:p>
        </w:tc>
        <w:tc>
          <w:tcPr>
            <w:tcW w:w="3004" w:type="dxa"/>
            <w:tcBorders>
              <w:bottom w:val="single" w:sz="4" w:space="0" w:color="auto"/>
            </w:tcBorders>
            <w:vAlign w:val="center"/>
          </w:tcPr>
          <w:p w14:paraId="4CDC7E64" w14:textId="77777777" w:rsidR="000706EE" w:rsidRPr="00EB1FAF" w:rsidRDefault="000706EE" w:rsidP="004A7358">
            <w:pPr>
              <w:jc w:val="center"/>
              <w:rPr>
                <w:b/>
                <w:sz w:val="20"/>
                <w:szCs w:val="20"/>
              </w:rPr>
            </w:pPr>
            <w:r w:rsidRPr="00EB1FAF">
              <w:rPr>
                <w:b/>
                <w:sz w:val="20"/>
                <w:szCs w:val="20"/>
              </w:rPr>
              <w:t>Achievement</w:t>
            </w:r>
          </w:p>
        </w:tc>
        <w:tc>
          <w:tcPr>
            <w:tcW w:w="2748" w:type="dxa"/>
            <w:tcBorders>
              <w:bottom w:val="single" w:sz="4" w:space="0" w:color="auto"/>
            </w:tcBorders>
            <w:vAlign w:val="center"/>
          </w:tcPr>
          <w:p w14:paraId="41E9A29C" w14:textId="77777777" w:rsidR="000706EE" w:rsidRPr="00EB1FAF" w:rsidRDefault="000706EE" w:rsidP="004A7358">
            <w:pPr>
              <w:jc w:val="center"/>
              <w:rPr>
                <w:b/>
                <w:sz w:val="20"/>
                <w:szCs w:val="20"/>
              </w:rPr>
            </w:pPr>
            <w:r w:rsidRPr="00EB1FAF">
              <w:rPr>
                <w:b/>
                <w:sz w:val="20"/>
                <w:szCs w:val="20"/>
              </w:rPr>
              <w:t>Merit</w:t>
            </w:r>
          </w:p>
        </w:tc>
        <w:tc>
          <w:tcPr>
            <w:tcW w:w="2748" w:type="dxa"/>
            <w:tcBorders>
              <w:bottom w:val="single" w:sz="4" w:space="0" w:color="auto"/>
            </w:tcBorders>
            <w:vAlign w:val="center"/>
          </w:tcPr>
          <w:p w14:paraId="3B10242C" w14:textId="77777777" w:rsidR="000706EE" w:rsidRPr="00EB1FAF" w:rsidRDefault="000706EE" w:rsidP="004A7358">
            <w:pPr>
              <w:jc w:val="center"/>
              <w:rPr>
                <w:b/>
                <w:sz w:val="20"/>
                <w:szCs w:val="20"/>
              </w:rPr>
            </w:pPr>
            <w:r w:rsidRPr="00EB1FAF">
              <w:rPr>
                <w:b/>
                <w:sz w:val="20"/>
                <w:szCs w:val="20"/>
              </w:rPr>
              <w:t>Excellence</w:t>
            </w:r>
          </w:p>
        </w:tc>
      </w:tr>
      <w:tr w:rsidR="000706EE" w:rsidRPr="002D5512" w14:paraId="0508D339" w14:textId="77777777" w:rsidTr="004A7358">
        <w:trPr>
          <w:cantSplit/>
        </w:trPr>
        <w:tc>
          <w:tcPr>
            <w:tcW w:w="675" w:type="dxa"/>
            <w:tcBorders>
              <w:top w:val="nil"/>
              <w:bottom w:val="single" w:sz="4" w:space="0" w:color="auto"/>
            </w:tcBorders>
          </w:tcPr>
          <w:p w14:paraId="531FED55" w14:textId="77777777" w:rsidR="000706EE" w:rsidRDefault="000706EE" w:rsidP="004A7358">
            <w:pPr>
              <w:jc w:val="center"/>
              <w:rPr>
                <w:sz w:val="20"/>
                <w:szCs w:val="20"/>
              </w:rPr>
            </w:pPr>
            <w:r w:rsidRPr="002D5512">
              <w:rPr>
                <w:sz w:val="20"/>
                <w:szCs w:val="20"/>
              </w:rPr>
              <w:t>(</w:t>
            </w:r>
            <w:r>
              <w:rPr>
                <w:sz w:val="20"/>
                <w:szCs w:val="20"/>
              </w:rPr>
              <w:t>i)</w:t>
            </w:r>
          </w:p>
          <w:p w14:paraId="6A688481" w14:textId="77777777" w:rsidR="000706EE" w:rsidRDefault="000706EE" w:rsidP="004A7358">
            <w:pPr>
              <w:jc w:val="center"/>
              <w:rPr>
                <w:sz w:val="20"/>
                <w:szCs w:val="20"/>
              </w:rPr>
            </w:pPr>
          </w:p>
          <w:p w14:paraId="78D2D1E0" w14:textId="2A322DBF" w:rsidR="000706EE" w:rsidRPr="002D5512" w:rsidRDefault="000706EE" w:rsidP="004A7358">
            <w:pPr>
              <w:jc w:val="center"/>
              <w:rPr>
                <w:sz w:val="20"/>
                <w:szCs w:val="20"/>
              </w:rPr>
            </w:pPr>
            <w:r>
              <w:rPr>
                <w:sz w:val="20"/>
                <w:szCs w:val="20"/>
              </w:rPr>
              <w:t>(ii)</w:t>
            </w:r>
          </w:p>
        </w:tc>
        <w:tc>
          <w:tcPr>
            <w:tcW w:w="6134" w:type="dxa"/>
            <w:tcBorders>
              <w:top w:val="nil"/>
              <w:bottom w:val="single" w:sz="4" w:space="0" w:color="auto"/>
            </w:tcBorders>
          </w:tcPr>
          <w:p w14:paraId="55A05968" w14:textId="6B3C31C6" w:rsidR="000706EE" w:rsidRPr="000706EE" w:rsidRDefault="000706EE" w:rsidP="004A7358">
            <w:pPr>
              <w:autoSpaceDE w:val="0"/>
              <w:autoSpaceDN w:val="0"/>
              <w:adjustRightInd w:val="0"/>
              <w:rPr>
                <w:sz w:val="20"/>
                <w:szCs w:val="20"/>
              </w:rPr>
            </w:pPr>
            <w:r w:rsidRPr="000706EE">
              <w:rPr>
                <w:sz w:val="20"/>
                <w:szCs w:val="20"/>
              </w:rPr>
              <w:t>H</w:t>
            </w:r>
            <w:r w:rsidRPr="000706EE">
              <w:rPr>
                <w:sz w:val="20"/>
                <w:szCs w:val="20"/>
                <w:vertAlign w:val="subscript"/>
              </w:rPr>
              <w:t>2</w:t>
            </w:r>
            <w:r w:rsidRPr="000706EE">
              <w:rPr>
                <w:sz w:val="20"/>
                <w:szCs w:val="20"/>
              </w:rPr>
              <w:t>O(</w:t>
            </w:r>
            <w:r w:rsidRPr="000706EE">
              <w:rPr>
                <w:i/>
                <w:iCs/>
                <w:sz w:val="20"/>
                <w:szCs w:val="20"/>
              </w:rPr>
              <w:t>s</w:t>
            </w:r>
            <w:r w:rsidRPr="000706EE">
              <w:rPr>
                <w:sz w:val="20"/>
                <w:szCs w:val="20"/>
              </w:rPr>
              <w:t>)</w:t>
            </w:r>
            <w:r w:rsidRPr="000706EE">
              <w:rPr>
                <w:sz w:val="20"/>
                <w:szCs w:val="20"/>
              </w:rPr>
              <w:t xml:space="preserve"> </w:t>
            </w:r>
            <w:r w:rsidRPr="000706EE">
              <w:rPr>
                <w:sz w:val="20"/>
                <w:szCs w:val="20"/>
              </w:rPr>
              <w:sym w:font="Wingdings" w:char="F0E0"/>
            </w:r>
            <w:r w:rsidRPr="000706EE">
              <w:rPr>
                <w:sz w:val="20"/>
                <w:szCs w:val="20"/>
              </w:rPr>
              <w:t xml:space="preserve"> H</w:t>
            </w:r>
            <w:r w:rsidRPr="000706EE">
              <w:rPr>
                <w:sz w:val="20"/>
                <w:szCs w:val="20"/>
                <w:vertAlign w:val="subscript"/>
              </w:rPr>
              <w:t>2</w:t>
            </w:r>
            <w:r w:rsidRPr="000706EE">
              <w:rPr>
                <w:sz w:val="20"/>
                <w:szCs w:val="20"/>
              </w:rPr>
              <w:t>O</w:t>
            </w:r>
            <w:r w:rsidRPr="000706EE">
              <w:rPr>
                <w:i/>
                <w:iCs/>
                <w:sz w:val="20"/>
                <w:szCs w:val="20"/>
              </w:rPr>
              <w:t>(</w:t>
            </w:r>
            <w:r w:rsidRPr="000706EE">
              <w:rPr>
                <w:i/>
                <w:iCs/>
                <w:sz w:val="20"/>
                <w:szCs w:val="20"/>
              </w:rPr>
              <w:t>l</w:t>
            </w:r>
            <w:r w:rsidRPr="000706EE">
              <w:rPr>
                <w:i/>
                <w:iCs/>
                <w:sz w:val="20"/>
                <w:szCs w:val="20"/>
              </w:rPr>
              <w:t>)</w:t>
            </w:r>
          </w:p>
          <w:p w14:paraId="31AD4C81" w14:textId="77777777" w:rsidR="000706EE" w:rsidRPr="000706EE" w:rsidRDefault="000706EE" w:rsidP="004A7358">
            <w:pPr>
              <w:autoSpaceDE w:val="0"/>
              <w:autoSpaceDN w:val="0"/>
              <w:adjustRightInd w:val="0"/>
              <w:rPr>
                <w:sz w:val="20"/>
                <w:szCs w:val="20"/>
                <w:lang w:val="en-US"/>
              </w:rPr>
            </w:pPr>
          </w:p>
          <w:p w14:paraId="339F7B5F" w14:textId="77777777" w:rsidR="000706EE" w:rsidRPr="000706EE" w:rsidRDefault="000706EE" w:rsidP="000706EE">
            <w:pPr>
              <w:autoSpaceDE w:val="0"/>
              <w:autoSpaceDN w:val="0"/>
              <w:adjustRightInd w:val="0"/>
              <w:rPr>
                <w:sz w:val="20"/>
                <w:szCs w:val="20"/>
              </w:rPr>
            </w:pPr>
            <w:r w:rsidRPr="000706EE">
              <w:rPr>
                <w:sz w:val="20"/>
                <w:szCs w:val="20"/>
              </w:rPr>
              <w:t>The enthalpy of vaporisation is larger than the enthalpy of fusion since</w:t>
            </w:r>
          </w:p>
          <w:p w14:paraId="53EB5695" w14:textId="5D671749" w:rsidR="000706EE" w:rsidRPr="000706EE" w:rsidRDefault="000706EE" w:rsidP="000706EE">
            <w:pPr>
              <w:autoSpaceDE w:val="0"/>
              <w:autoSpaceDN w:val="0"/>
              <w:adjustRightInd w:val="0"/>
              <w:rPr>
                <w:sz w:val="20"/>
                <w:szCs w:val="20"/>
              </w:rPr>
            </w:pPr>
            <w:r w:rsidRPr="000706EE">
              <w:rPr>
                <w:sz w:val="20"/>
                <w:szCs w:val="20"/>
              </w:rPr>
              <w:t>much more heat energy is required to break all the attractive forces between</w:t>
            </w:r>
            <w:r>
              <w:rPr>
                <w:sz w:val="20"/>
                <w:szCs w:val="20"/>
              </w:rPr>
              <w:t xml:space="preserve"> </w:t>
            </w:r>
            <w:r w:rsidRPr="000706EE">
              <w:rPr>
                <w:sz w:val="20"/>
                <w:szCs w:val="20"/>
              </w:rPr>
              <w:t>liquid particles to form a gas. When a solid changes into a liquid, only some</w:t>
            </w:r>
            <w:r>
              <w:rPr>
                <w:sz w:val="20"/>
                <w:szCs w:val="20"/>
              </w:rPr>
              <w:t xml:space="preserve"> </w:t>
            </w:r>
            <w:r w:rsidRPr="000706EE">
              <w:rPr>
                <w:sz w:val="20"/>
                <w:szCs w:val="20"/>
              </w:rPr>
              <w:t>of the attractive forces are overcome, so less heat energy is required.</w:t>
            </w:r>
          </w:p>
        </w:tc>
        <w:tc>
          <w:tcPr>
            <w:tcW w:w="3004" w:type="dxa"/>
            <w:tcBorders>
              <w:top w:val="nil"/>
              <w:bottom w:val="single" w:sz="4" w:space="0" w:color="auto"/>
            </w:tcBorders>
          </w:tcPr>
          <w:p w14:paraId="5F5B7D50" w14:textId="77777777" w:rsidR="000706EE" w:rsidRDefault="000706EE" w:rsidP="000706E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Correct equation.</w:t>
            </w:r>
          </w:p>
          <w:p w14:paraId="53E33DA7" w14:textId="77777777" w:rsidR="000706EE" w:rsidRDefault="000706EE" w:rsidP="000706E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OR</w:t>
            </w:r>
          </w:p>
          <w:p w14:paraId="57EAF648" w14:textId="77777777" w:rsidR="005D52D3" w:rsidRDefault="000706EE" w:rsidP="000706E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Recognises that attractive forces are</w:t>
            </w:r>
            <w:r w:rsidR="005D52D3">
              <w:rPr>
                <w:rFonts w:ascii="TimesNewRomanPSMT" w:hAnsi="TimesNewRomanPSMT" w:cs="TimesNewRomanPSMT"/>
                <w:sz w:val="20"/>
                <w:szCs w:val="20"/>
              </w:rPr>
              <w:t xml:space="preserve"> </w:t>
            </w:r>
            <w:r>
              <w:rPr>
                <w:rFonts w:ascii="TimesNewRomanPSMT" w:hAnsi="TimesNewRomanPSMT" w:cs="TimesNewRomanPSMT"/>
                <w:sz w:val="20"/>
                <w:szCs w:val="20"/>
              </w:rPr>
              <w:t xml:space="preserve">broken during state change </w:t>
            </w:r>
          </w:p>
          <w:p w14:paraId="00B5070D" w14:textId="77777777" w:rsidR="005D52D3" w:rsidRDefault="000706EE" w:rsidP="000706E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OR </w:t>
            </w:r>
          </w:p>
          <w:p w14:paraId="7DEE639D" w14:textId="087DCD08" w:rsidR="000706EE" w:rsidRPr="005D52D3" w:rsidRDefault="000706EE" w:rsidP="005D52D3">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that</w:t>
            </w:r>
            <w:r w:rsidR="005D52D3">
              <w:rPr>
                <w:rFonts w:ascii="TimesNewRomanPSMT" w:hAnsi="TimesNewRomanPSMT" w:cs="TimesNewRomanPSMT"/>
                <w:sz w:val="20"/>
                <w:szCs w:val="20"/>
              </w:rPr>
              <w:t xml:space="preserve"> </w:t>
            </w:r>
            <w:r>
              <w:rPr>
                <w:rFonts w:ascii="TimesNewRomanPSMT" w:hAnsi="TimesNewRomanPSMT" w:cs="TimesNewRomanPSMT"/>
                <w:sz w:val="20"/>
                <w:szCs w:val="20"/>
              </w:rPr>
              <w:t>more energy is required.</w:t>
            </w:r>
          </w:p>
        </w:tc>
        <w:tc>
          <w:tcPr>
            <w:tcW w:w="2748" w:type="dxa"/>
            <w:tcBorders>
              <w:top w:val="nil"/>
              <w:bottom w:val="single" w:sz="4" w:space="0" w:color="auto"/>
            </w:tcBorders>
          </w:tcPr>
          <w:p w14:paraId="5AFA57D3" w14:textId="5A41075A" w:rsidR="000706EE" w:rsidRDefault="000706EE" w:rsidP="000706E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Explains that more</w:t>
            </w:r>
            <w:r w:rsidR="005D52D3">
              <w:rPr>
                <w:rFonts w:ascii="TimesNewRomanPSMT" w:hAnsi="TimesNewRomanPSMT" w:cs="TimesNewRomanPSMT"/>
                <w:sz w:val="20"/>
                <w:szCs w:val="20"/>
              </w:rPr>
              <w:t xml:space="preserve"> </w:t>
            </w:r>
            <w:r>
              <w:rPr>
                <w:rFonts w:ascii="TimesNewRomanPSMT" w:hAnsi="TimesNewRomanPSMT" w:cs="TimesNewRomanPSMT"/>
                <w:sz w:val="20"/>
                <w:szCs w:val="20"/>
              </w:rPr>
              <w:t>attractive forces are</w:t>
            </w:r>
            <w:r w:rsidR="005D52D3">
              <w:rPr>
                <w:rFonts w:ascii="TimesNewRomanPSMT" w:hAnsi="TimesNewRomanPSMT" w:cs="TimesNewRomanPSMT"/>
                <w:sz w:val="20"/>
                <w:szCs w:val="20"/>
              </w:rPr>
              <w:t xml:space="preserve"> </w:t>
            </w:r>
            <w:r>
              <w:rPr>
                <w:rFonts w:ascii="TimesNewRomanPSMT" w:hAnsi="TimesNewRomanPSMT" w:cs="TimesNewRomanPSMT"/>
                <w:sz w:val="20"/>
                <w:szCs w:val="20"/>
              </w:rPr>
              <w:t>broken when a liquid</w:t>
            </w:r>
          </w:p>
          <w:p w14:paraId="01DB04D5" w14:textId="3E3A8708" w:rsidR="000706EE" w:rsidRDefault="000706EE" w:rsidP="000706E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changes to a gas</w:t>
            </w:r>
            <w:r w:rsidR="005D52D3">
              <w:rPr>
                <w:rFonts w:ascii="TimesNewRomanPSMT" w:hAnsi="TimesNewRomanPSMT" w:cs="TimesNewRomanPSMT"/>
                <w:sz w:val="20"/>
                <w:szCs w:val="20"/>
              </w:rPr>
              <w:t xml:space="preserve"> </w:t>
            </w:r>
            <w:r>
              <w:rPr>
                <w:rFonts w:ascii="TimesNewRomanPSMT" w:hAnsi="TimesNewRomanPSMT" w:cs="TimesNewRomanPSMT"/>
                <w:sz w:val="20"/>
                <w:szCs w:val="20"/>
              </w:rPr>
              <w:t>compared to a solid</w:t>
            </w:r>
            <w:r w:rsidR="005D52D3">
              <w:rPr>
                <w:rFonts w:ascii="TimesNewRomanPSMT" w:hAnsi="TimesNewRomanPSMT" w:cs="TimesNewRomanPSMT"/>
                <w:sz w:val="20"/>
                <w:szCs w:val="20"/>
              </w:rPr>
              <w:t xml:space="preserve"> t</w:t>
            </w:r>
            <w:r>
              <w:rPr>
                <w:rFonts w:ascii="TimesNewRomanPSMT" w:hAnsi="TimesNewRomanPSMT" w:cs="TimesNewRomanPSMT"/>
                <w:sz w:val="20"/>
                <w:szCs w:val="20"/>
              </w:rPr>
              <w:t>urning into a liquid</w:t>
            </w:r>
          </w:p>
          <w:p w14:paraId="3D707506" w14:textId="4FC78AC4" w:rsidR="000706EE" w:rsidRPr="005D52D3" w:rsidRDefault="000706EE" w:rsidP="005D52D3">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using a correct</w:t>
            </w:r>
            <w:r w:rsidR="005D52D3">
              <w:rPr>
                <w:rFonts w:ascii="TimesNewRomanPSMT" w:hAnsi="TimesNewRomanPSMT" w:cs="TimesNewRomanPSMT"/>
                <w:sz w:val="20"/>
                <w:szCs w:val="20"/>
              </w:rPr>
              <w:t xml:space="preserve"> </w:t>
            </w:r>
            <w:r>
              <w:rPr>
                <w:rFonts w:ascii="TimesNewRomanPSMT" w:hAnsi="TimesNewRomanPSMT" w:cs="TimesNewRomanPSMT"/>
                <w:sz w:val="20"/>
                <w:szCs w:val="20"/>
              </w:rPr>
              <w:t>equation.</w:t>
            </w:r>
          </w:p>
        </w:tc>
        <w:tc>
          <w:tcPr>
            <w:tcW w:w="2748" w:type="dxa"/>
            <w:tcBorders>
              <w:top w:val="nil"/>
              <w:bottom w:val="single" w:sz="4" w:space="0" w:color="auto"/>
            </w:tcBorders>
          </w:tcPr>
          <w:p w14:paraId="1E462BBE" w14:textId="77777777" w:rsidR="000706EE" w:rsidRPr="002D5512" w:rsidRDefault="000706EE" w:rsidP="004A7358">
            <w:pPr>
              <w:pStyle w:val="textbullet"/>
              <w:numPr>
                <w:ilvl w:val="0"/>
                <w:numId w:val="0"/>
              </w:numPr>
              <w:spacing w:after="0"/>
              <w:ind w:left="170"/>
            </w:pPr>
          </w:p>
        </w:tc>
      </w:tr>
    </w:tbl>
    <w:p w14:paraId="6C7A6524" w14:textId="77777777" w:rsidR="000706EE" w:rsidRPr="005D52D3" w:rsidRDefault="000706EE" w:rsidP="00945086">
      <w:pPr>
        <w:jc w:val="center"/>
        <w:rPr>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75"/>
        <w:gridCol w:w="6134"/>
        <w:gridCol w:w="3004"/>
        <w:gridCol w:w="2748"/>
        <w:gridCol w:w="2748"/>
      </w:tblGrid>
      <w:tr w:rsidR="00461020" w:rsidRPr="002D5512" w14:paraId="30DB9E87" w14:textId="77777777" w:rsidTr="00C66D20">
        <w:trPr>
          <w:cantSplit/>
        </w:trPr>
        <w:tc>
          <w:tcPr>
            <w:tcW w:w="675" w:type="dxa"/>
            <w:tcBorders>
              <w:bottom w:val="single" w:sz="4" w:space="0" w:color="auto"/>
            </w:tcBorders>
            <w:vAlign w:val="center"/>
          </w:tcPr>
          <w:p w14:paraId="0A22CD7D" w14:textId="77777777" w:rsidR="00461020" w:rsidRPr="00EB1FAF" w:rsidRDefault="00461020" w:rsidP="00C66D20">
            <w:pPr>
              <w:jc w:val="center"/>
              <w:rPr>
                <w:b/>
                <w:sz w:val="20"/>
                <w:szCs w:val="20"/>
              </w:rPr>
            </w:pPr>
            <w:r>
              <w:rPr>
                <w:b/>
                <w:sz w:val="20"/>
                <w:szCs w:val="20"/>
              </w:rPr>
              <w:t>2017</w:t>
            </w:r>
          </w:p>
        </w:tc>
        <w:tc>
          <w:tcPr>
            <w:tcW w:w="6134" w:type="dxa"/>
            <w:tcBorders>
              <w:bottom w:val="single" w:sz="4" w:space="0" w:color="auto"/>
            </w:tcBorders>
            <w:vAlign w:val="center"/>
          </w:tcPr>
          <w:p w14:paraId="7431E4BC" w14:textId="77777777" w:rsidR="00461020" w:rsidRPr="00EB1FAF" w:rsidRDefault="00461020" w:rsidP="00C66D20">
            <w:pPr>
              <w:jc w:val="center"/>
              <w:rPr>
                <w:b/>
                <w:sz w:val="20"/>
                <w:szCs w:val="20"/>
              </w:rPr>
            </w:pPr>
            <w:r w:rsidRPr="00EB1FAF">
              <w:rPr>
                <w:b/>
                <w:sz w:val="20"/>
                <w:szCs w:val="20"/>
              </w:rPr>
              <w:t>Evidence</w:t>
            </w:r>
          </w:p>
        </w:tc>
        <w:tc>
          <w:tcPr>
            <w:tcW w:w="3004" w:type="dxa"/>
            <w:tcBorders>
              <w:bottom w:val="single" w:sz="4" w:space="0" w:color="auto"/>
            </w:tcBorders>
            <w:vAlign w:val="center"/>
          </w:tcPr>
          <w:p w14:paraId="39210692" w14:textId="77777777" w:rsidR="00461020" w:rsidRPr="00EB1FAF" w:rsidRDefault="00461020" w:rsidP="00C66D20">
            <w:pPr>
              <w:jc w:val="center"/>
              <w:rPr>
                <w:b/>
                <w:sz w:val="20"/>
                <w:szCs w:val="20"/>
              </w:rPr>
            </w:pPr>
            <w:r w:rsidRPr="00EB1FAF">
              <w:rPr>
                <w:b/>
                <w:sz w:val="20"/>
                <w:szCs w:val="20"/>
              </w:rPr>
              <w:t>Achievement</w:t>
            </w:r>
          </w:p>
        </w:tc>
        <w:tc>
          <w:tcPr>
            <w:tcW w:w="2748" w:type="dxa"/>
            <w:tcBorders>
              <w:bottom w:val="single" w:sz="4" w:space="0" w:color="auto"/>
            </w:tcBorders>
            <w:vAlign w:val="center"/>
          </w:tcPr>
          <w:p w14:paraId="4305D5B2" w14:textId="77777777" w:rsidR="00461020" w:rsidRPr="00EB1FAF" w:rsidRDefault="00461020" w:rsidP="00C66D20">
            <w:pPr>
              <w:jc w:val="center"/>
              <w:rPr>
                <w:b/>
                <w:sz w:val="20"/>
                <w:szCs w:val="20"/>
              </w:rPr>
            </w:pPr>
            <w:r w:rsidRPr="00EB1FAF">
              <w:rPr>
                <w:b/>
                <w:sz w:val="20"/>
                <w:szCs w:val="20"/>
              </w:rPr>
              <w:t>Achievement with Merit</w:t>
            </w:r>
          </w:p>
        </w:tc>
        <w:tc>
          <w:tcPr>
            <w:tcW w:w="2748" w:type="dxa"/>
            <w:tcBorders>
              <w:bottom w:val="single" w:sz="4" w:space="0" w:color="auto"/>
            </w:tcBorders>
            <w:vAlign w:val="center"/>
          </w:tcPr>
          <w:p w14:paraId="51E3F284" w14:textId="77777777" w:rsidR="00461020" w:rsidRPr="00EB1FAF" w:rsidRDefault="00461020" w:rsidP="00C66D20">
            <w:pPr>
              <w:jc w:val="center"/>
              <w:rPr>
                <w:b/>
                <w:sz w:val="20"/>
                <w:szCs w:val="20"/>
              </w:rPr>
            </w:pPr>
            <w:r w:rsidRPr="00EB1FAF">
              <w:rPr>
                <w:b/>
                <w:sz w:val="20"/>
                <w:szCs w:val="20"/>
              </w:rPr>
              <w:t>Achievement with Excellence</w:t>
            </w:r>
          </w:p>
        </w:tc>
      </w:tr>
      <w:tr w:rsidR="00461020" w:rsidRPr="002D5512" w14:paraId="6B645472" w14:textId="77777777" w:rsidTr="00C66D20">
        <w:trPr>
          <w:cantSplit/>
        </w:trPr>
        <w:tc>
          <w:tcPr>
            <w:tcW w:w="675" w:type="dxa"/>
            <w:tcBorders>
              <w:top w:val="nil"/>
              <w:bottom w:val="single" w:sz="4" w:space="0" w:color="auto"/>
            </w:tcBorders>
          </w:tcPr>
          <w:p w14:paraId="745D5C15" w14:textId="77777777" w:rsidR="00461020" w:rsidRPr="002D5512" w:rsidRDefault="00461020" w:rsidP="00461020">
            <w:pPr>
              <w:jc w:val="center"/>
              <w:rPr>
                <w:sz w:val="20"/>
                <w:szCs w:val="20"/>
              </w:rPr>
            </w:pPr>
            <w:r w:rsidRPr="002D5512">
              <w:rPr>
                <w:sz w:val="20"/>
                <w:szCs w:val="20"/>
              </w:rPr>
              <w:t>(i)</w:t>
            </w:r>
          </w:p>
          <w:p w14:paraId="3CA296ED" w14:textId="77777777" w:rsidR="00461020" w:rsidRPr="002D5512" w:rsidRDefault="00461020" w:rsidP="00461020">
            <w:pPr>
              <w:jc w:val="center"/>
              <w:rPr>
                <w:sz w:val="20"/>
                <w:szCs w:val="20"/>
              </w:rPr>
            </w:pPr>
            <w:r w:rsidRPr="002D5512">
              <w:rPr>
                <w:sz w:val="20"/>
                <w:szCs w:val="20"/>
              </w:rPr>
              <w:t>(ii)</w:t>
            </w:r>
          </w:p>
        </w:tc>
        <w:tc>
          <w:tcPr>
            <w:tcW w:w="6134" w:type="dxa"/>
            <w:tcBorders>
              <w:top w:val="nil"/>
              <w:bottom w:val="single" w:sz="4" w:space="0" w:color="auto"/>
            </w:tcBorders>
          </w:tcPr>
          <w:p w14:paraId="4484E155" w14:textId="77777777" w:rsidR="00461020" w:rsidRPr="00461020" w:rsidRDefault="00461020" w:rsidP="00461020">
            <w:pPr>
              <w:autoSpaceDE w:val="0"/>
              <w:autoSpaceDN w:val="0"/>
              <w:adjustRightInd w:val="0"/>
              <w:rPr>
                <w:sz w:val="20"/>
                <w:szCs w:val="20"/>
                <w:lang w:val="en-US"/>
              </w:rPr>
            </w:pPr>
            <w:r w:rsidRPr="00461020">
              <w:rPr>
                <w:sz w:val="20"/>
                <w:szCs w:val="20"/>
                <w:lang w:val="en-US"/>
              </w:rPr>
              <w:t>I</w:t>
            </w:r>
            <w:r w:rsidRPr="00461020">
              <w:rPr>
                <w:sz w:val="20"/>
                <w:szCs w:val="20"/>
                <w:vertAlign w:val="subscript"/>
                <w:lang w:val="en-US"/>
              </w:rPr>
              <w:t>2</w:t>
            </w:r>
            <w:r w:rsidRPr="00461020">
              <w:rPr>
                <w:sz w:val="20"/>
                <w:szCs w:val="20"/>
                <w:lang w:val="en-US"/>
              </w:rPr>
              <w:t>(</w:t>
            </w:r>
            <w:r w:rsidRPr="00461020">
              <w:rPr>
                <w:i/>
                <w:iCs/>
                <w:sz w:val="20"/>
                <w:szCs w:val="20"/>
                <w:lang w:val="en-US"/>
              </w:rPr>
              <w:t>s</w:t>
            </w:r>
            <w:r w:rsidRPr="00461020">
              <w:rPr>
                <w:sz w:val="20"/>
                <w:szCs w:val="20"/>
                <w:lang w:val="en-US"/>
              </w:rPr>
              <w:t>) → I</w:t>
            </w:r>
            <w:r w:rsidRPr="00461020">
              <w:rPr>
                <w:sz w:val="20"/>
                <w:szCs w:val="20"/>
                <w:vertAlign w:val="subscript"/>
                <w:lang w:val="en-US"/>
              </w:rPr>
              <w:t>2</w:t>
            </w:r>
            <w:r w:rsidRPr="00461020">
              <w:rPr>
                <w:sz w:val="20"/>
                <w:szCs w:val="20"/>
                <w:lang w:val="en-US"/>
              </w:rPr>
              <w:t>(</w:t>
            </w:r>
            <w:r w:rsidRPr="00461020">
              <w:rPr>
                <w:i/>
                <w:iCs/>
                <w:sz w:val="20"/>
                <w:szCs w:val="20"/>
                <w:lang w:val="en-US"/>
              </w:rPr>
              <w:t>g</w:t>
            </w:r>
            <w:r w:rsidRPr="00461020">
              <w:rPr>
                <w:sz w:val="20"/>
                <w:szCs w:val="20"/>
                <w:lang w:val="en-US"/>
              </w:rPr>
              <w:t>)</w:t>
            </w:r>
          </w:p>
          <w:p w14:paraId="38C54E8C" w14:textId="77777777" w:rsidR="00461020" w:rsidRPr="00461020" w:rsidRDefault="00461020" w:rsidP="00461020">
            <w:pPr>
              <w:autoSpaceDE w:val="0"/>
              <w:autoSpaceDN w:val="0"/>
              <w:adjustRightInd w:val="0"/>
              <w:rPr>
                <w:sz w:val="20"/>
                <w:szCs w:val="20"/>
                <w:lang w:val="en-US"/>
              </w:rPr>
            </w:pPr>
            <w:r w:rsidRPr="00461020">
              <w:rPr>
                <w:sz w:val="20"/>
                <w:szCs w:val="20"/>
                <w:lang w:val="en-US"/>
              </w:rPr>
              <w:t xml:space="preserve">This is the </w:t>
            </w:r>
            <w:r w:rsidRPr="00461020">
              <w:rPr>
                <w:b/>
                <w:bCs/>
                <w:sz w:val="20"/>
                <w:szCs w:val="20"/>
                <w:lang w:val="en-US"/>
              </w:rPr>
              <w:t xml:space="preserve">heat energy </w:t>
            </w:r>
            <w:r w:rsidRPr="00461020">
              <w:rPr>
                <w:sz w:val="20"/>
                <w:szCs w:val="20"/>
                <w:lang w:val="en-US"/>
              </w:rPr>
              <w:t xml:space="preserve">required to change one mole </w:t>
            </w:r>
            <w:r>
              <w:rPr>
                <w:sz w:val="20"/>
                <w:szCs w:val="20"/>
                <w:lang w:val="en-US"/>
              </w:rPr>
              <w:t xml:space="preserve">of a substance from solid state </w:t>
            </w:r>
            <w:r w:rsidRPr="00461020">
              <w:rPr>
                <w:sz w:val="20"/>
                <w:szCs w:val="20"/>
                <w:lang w:val="en-US"/>
              </w:rPr>
              <w:t>to gaseous state (at a given combination of temperature and pressure).</w:t>
            </w:r>
          </w:p>
        </w:tc>
        <w:tc>
          <w:tcPr>
            <w:tcW w:w="3004" w:type="dxa"/>
            <w:tcBorders>
              <w:top w:val="nil"/>
              <w:bottom w:val="single" w:sz="4" w:space="0" w:color="auto"/>
            </w:tcBorders>
          </w:tcPr>
          <w:p w14:paraId="04633471" w14:textId="77777777" w:rsidR="00461020" w:rsidRDefault="00461020" w:rsidP="00461020">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Correct</w:t>
            </w:r>
          </w:p>
          <w:p w14:paraId="6CDF95E2" w14:textId="77777777" w:rsidR="00461020" w:rsidRDefault="00461020" w:rsidP="00461020">
            <w:pPr>
              <w:autoSpaceDE w:val="0"/>
              <w:autoSpaceDN w:val="0"/>
              <w:adjustRightInd w:val="0"/>
              <w:rPr>
                <w:rFonts w:ascii="TimesNewRomanPSMT" w:hAnsi="TimesNewRomanPSMT" w:cs="TimesNewRomanPSMT"/>
                <w:sz w:val="20"/>
                <w:szCs w:val="20"/>
                <w:lang w:val="en-US"/>
              </w:rPr>
            </w:pPr>
            <w:r>
              <w:rPr>
                <w:rFonts w:ascii="TimesNewRomanPSMT" w:hAnsi="TimesNewRomanPSMT" w:cs="TimesNewRomanPSMT"/>
                <w:sz w:val="20"/>
                <w:szCs w:val="20"/>
                <w:lang w:val="en-US"/>
              </w:rPr>
              <w:t>OR</w:t>
            </w:r>
          </w:p>
          <w:p w14:paraId="58860034" w14:textId="77777777" w:rsidR="00461020" w:rsidRPr="002D5512" w:rsidRDefault="00461020" w:rsidP="00461020">
            <w:pPr>
              <w:pStyle w:val="textbullet"/>
              <w:numPr>
                <w:ilvl w:val="0"/>
                <w:numId w:val="0"/>
              </w:numPr>
              <w:spacing w:after="0"/>
            </w:pPr>
            <w:r>
              <w:rPr>
                <w:rFonts w:ascii="TimesNewRomanPSMT" w:hAnsi="TimesNewRomanPSMT" w:cs="TimesNewRomanPSMT"/>
                <w:lang w:val="en-US"/>
              </w:rPr>
              <w:t>Correct definition.</w:t>
            </w:r>
          </w:p>
        </w:tc>
        <w:tc>
          <w:tcPr>
            <w:tcW w:w="2748" w:type="dxa"/>
            <w:tcBorders>
              <w:top w:val="nil"/>
              <w:bottom w:val="single" w:sz="4" w:space="0" w:color="auto"/>
            </w:tcBorders>
          </w:tcPr>
          <w:p w14:paraId="27C2A388" w14:textId="77777777" w:rsidR="00461020" w:rsidRPr="002D5512" w:rsidRDefault="00461020" w:rsidP="00461020">
            <w:pPr>
              <w:pStyle w:val="textbullet"/>
              <w:numPr>
                <w:ilvl w:val="0"/>
                <w:numId w:val="0"/>
              </w:numPr>
              <w:spacing w:after="0"/>
            </w:pPr>
          </w:p>
        </w:tc>
        <w:tc>
          <w:tcPr>
            <w:tcW w:w="2748" w:type="dxa"/>
            <w:tcBorders>
              <w:top w:val="nil"/>
              <w:bottom w:val="single" w:sz="4" w:space="0" w:color="auto"/>
            </w:tcBorders>
          </w:tcPr>
          <w:p w14:paraId="71086DAC" w14:textId="77777777" w:rsidR="00461020" w:rsidRPr="002D5512" w:rsidRDefault="00461020" w:rsidP="00C66D20">
            <w:pPr>
              <w:pStyle w:val="textbullet"/>
              <w:numPr>
                <w:ilvl w:val="0"/>
                <w:numId w:val="0"/>
              </w:numPr>
              <w:spacing w:after="0"/>
              <w:ind w:left="170"/>
            </w:pPr>
          </w:p>
        </w:tc>
      </w:tr>
    </w:tbl>
    <w:p w14:paraId="03088816" w14:textId="77777777" w:rsidR="00461020" w:rsidRPr="005D52D3" w:rsidRDefault="00461020" w:rsidP="005D52D3">
      <w:pPr>
        <w:rPr>
          <w:sz w:val="20"/>
          <w:szCs w:val="20"/>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75"/>
        <w:gridCol w:w="6134"/>
        <w:gridCol w:w="3004"/>
        <w:gridCol w:w="2748"/>
        <w:gridCol w:w="2748"/>
      </w:tblGrid>
      <w:tr w:rsidR="00945086" w:rsidRPr="002D5512" w14:paraId="5915EFC8" w14:textId="77777777" w:rsidTr="00C66D20">
        <w:trPr>
          <w:cantSplit/>
        </w:trPr>
        <w:tc>
          <w:tcPr>
            <w:tcW w:w="675" w:type="dxa"/>
            <w:tcBorders>
              <w:bottom w:val="single" w:sz="4" w:space="0" w:color="auto"/>
            </w:tcBorders>
            <w:vAlign w:val="center"/>
          </w:tcPr>
          <w:p w14:paraId="79597267" w14:textId="77777777" w:rsidR="00945086" w:rsidRPr="00EB1FAF" w:rsidRDefault="00945086" w:rsidP="00C66D20">
            <w:pPr>
              <w:jc w:val="center"/>
              <w:rPr>
                <w:b/>
                <w:sz w:val="20"/>
                <w:szCs w:val="20"/>
              </w:rPr>
            </w:pPr>
            <w:r>
              <w:rPr>
                <w:b/>
                <w:sz w:val="20"/>
                <w:szCs w:val="20"/>
              </w:rPr>
              <w:t>2016</w:t>
            </w:r>
          </w:p>
        </w:tc>
        <w:tc>
          <w:tcPr>
            <w:tcW w:w="6134" w:type="dxa"/>
            <w:tcBorders>
              <w:bottom w:val="single" w:sz="4" w:space="0" w:color="auto"/>
            </w:tcBorders>
            <w:vAlign w:val="center"/>
          </w:tcPr>
          <w:p w14:paraId="7786E562" w14:textId="77777777" w:rsidR="00945086" w:rsidRPr="00EB1FAF" w:rsidRDefault="00945086" w:rsidP="00C66D20">
            <w:pPr>
              <w:jc w:val="center"/>
              <w:rPr>
                <w:b/>
                <w:sz w:val="20"/>
                <w:szCs w:val="20"/>
              </w:rPr>
            </w:pPr>
            <w:r w:rsidRPr="00EB1FAF">
              <w:rPr>
                <w:b/>
                <w:sz w:val="20"/>
                <w:szCs w:val="20"/>
              </w:rPr>
              <w:t>Evidence</w:t>
            </w:r>
          </w:p>
        </w:tc>
        <w:tc>
          <w:tcPr>
            <w:tcW w:w="3004" w:type="dxa"/>
            <w:tcBorders>
              <w:bottom w:val="single" w:sz="4" w:space="0" w:color="auto"/>
            </w:tcBorders>
            <w:vAlign w:val="center"/>
          </w:tcPr>
          <w:p w14:paraId="0D1ADD36" w14:textId="77777777" w:rsidR="00945086" w:rsidRPr="00EB1FAF" w:rsidRDefault="00945086" w:rsidP="00C66D20">
            <w:pPr>
              <w:jc w:val="center"/>
              <w:rPr>
                <w:b/>
                <w:sz w:val="20"/>
                <w:szCs w:val="20"/>
              </w:rPr>
            </w:pPr>
            <w:r w:rsidRPr="00EB1FAF">
              <w:rPr>
                <w:b/>
                <w:sz w:val="20"/>
                <w:szCs w:val="20"/>
              </w:rPr>
              <w:t>Achievement</w:t>
            </w:r>
          </w:p>
        </w:tc>
        <w:tc>
          <w:tcPr>
            <w:tcW w:w="2748" w:type="dxa"/>
            <w:tcBorders>
              <w:bottom w:val="single" w:sz="4" w:space="0" w:color="auto"/>
            </w:tcBorders>
            <w:vAlign w:val="center"/>
          </w:tcPr>
          <w:p w14:paraId="5AA516CA" w14:textId="77777777" w:rsidR="00945086" w:rsidRPr="00EB1FAF" w:rsidRDefault="00945086" w:rsidP="00C66D20">
            <w:pPr>
              <w:jc w:val="center"/>
              <w:rPr>
                <w:b/>
                <w:sz w:val="20"/>
                <w:szCs w:val="20"/>
              </w:rPr>
            </w:pPr>
            <w:r w:rsidRPr="00EB1FAF">
              <w:rPr>
                <w:b/>
                <w:sz w:val="20"/>
                <w:szCs w:val="20"/>
              </w:rPr>
              <w:t>Achievement with Merit</w:t>
            </w:r>
          </w:p>
        </w:tc>
        <w:tc>
          <w:tcPr>
            <w:tcW w:w="2748" w:type="dxa"/>
            <w:tcBorders>
              <w:bottom w:val="single" w:sz="4" w:space="0" w:color="auto"/>
            </w:tcBorders>
            <w:vAlign w:val="center"/>
          </w:tcPr>
          <w:p w14:paraId="0A6829BD" w14:textId="77777777" w:rsidR="00945086" w:rsidRPr="00EB1FAF" w:rsidRDefault="00945086" w:rsidP="00C66D20">
            <w:pPr>
              <w:jc w:val="center"/>
              <w:rPr>
                <w:b/>
                <w:sz w:val="20"/>
                <w:szCs w:val="20"/>
              </w:rPr>
            </w:pPr>
            <w:r w:rsidRPr="00EB1FAF">
              <w:rPr>
                <w:b/>
                <w:sz w:val="20"/>
                <w:szCs w:val="20"/>
              </w:rPr>
              <w:t>Achievement with Excellence</w:t>
            </w:r>
          </w:p>
        </w:tc>
      </w:tr>
      <w:tr w:rsidR="00945086" w:rsidRPr="002D5512" w14:paraId="6DD3E72E" w14:textId="77777777" w:rsidTr="00C66D20">
        <w:trPr>
          <w:cantSplit/>
        </w:trPr>
        <w:tc>
          <w:tcPr>
            <w:tcW w:w="675" w:type="dxa"/>
            <w:tcBorders>
              <w:top w:val="nil"/>
              <w:bottom w:val="single" w:sz="4" w:space="0" w:color="auto"/>
            </w:tcBorders>
          </w:tcPr>
          <w:p w14:paraId="399CA75F" w14:textId="77777777" w:rsidR="00945086" w:rsidRPr="002D5512" w:rsidRDefault="00945086" w:rsidP="00C66D20">
            <w:pPr>
              <w:jc w:val="center"/>
              <w:rPr>
                <w:sz w:val="20"/>
                <w:szCs w:val="20"/>
              </w:rPr>
            </w:pPr>
            <w:r w:rsidRPr="002D5512">
              <w:rPr>
                <w:sz w:val="20"/>
                <w:szCs w:val="20"/>
              </w:rPr>
              <w:t>(i)</w:t>
            </w:r>
          </w:p>
          <w:p w14:paraId="49CDA793" w14:textId="77777777" w:rsidR="00945086" w:rsidRPr="002D5512" w:rsidRDefault="00945086" w:rsidP="00C66D20">
            <w:pPr>
              <w:jc w:val="center"/>
              <w:rPr>
                <w:sz w:val="20"/>
                <w:szCs w:val="20"/>
              </w:rPr>
            </w:pPr>
          </w:p>
          <w:p w14:paraId="71A297DA" w14:textId="77777777" w:rsidR="00945086" w:rsidRPr="002D5512" w:rsidRDefault="00945086" w:rsidP="00C66D20">
            <w:pPr>
              <w:jc w:val="center"/>
              <w:rPr>
                <w:sz w:val="20"/>
                <w:szCs w:val="20"/>
              </w:rPr>
            </w:pPr>
          </w:p>
          <w:p w14:paraId="05A88427" w14:textId="77777777" w:rsidR="00945086" w:rsidRPr="002D5512" w:rsidRDefault="00945086" w:rsidP="00C66D20">
            <w:pPr>
              <w:jc w:val="center"/>
              <w:rPr>
                <w:sz w:val="20"/>
                <w:szCs w:val="20"/>
              </w:rPr>
            </w:pPr>
            <w:r w:rsidRPr="002D5512">
              <w:rPr>
                <w:sz w:val="20"/>
                <w:szCs w:val="20"/>
              </w:rPr>
              <w:t>(ii)</w:t>
            </w:r>
          </w:p>
          <w:p w14:paraId="2CE28CAF" w14:textId="77777777" w:rsidR="00945086" w:rsidRPr="002D5512" w:rsidRDefault="00945086" w:rsidP="00C66D20">
            <w:pPr>
              <w:jc w:val="center"/>
              <w:rPr>
                <w:sz w:val="20"/>
                <w:szCs w:val="20"/>
              </w:rPr>
            </w:pPr>
          </w:p>
          <w:p w14:paraId="0A3BD81D" w14:textId="77777777" w:rsidR="00945086" w:rsidRPr="002D5512" w:rsidRDefault="00945086" w:rsidP="00C66D20">
            <w:pPr>
              <w:jc w:val="center"/>
              <w:rPr>
                <w:sz w:val="20"/>
                <w:szCs w:val="20"/>
              </w:rPr>
            </w:pPr>
          </w:p>
          <w:p w14:paraId="34DE8F67" w14:textId="77777777" w:rsidR="00945086" w:rsidRPr="002D5512" w:rsidRDefault="00945086" w:rsidP="00C66D20">
            <w:pPr>
              <w:jc w:val="center"/>
              <w:rPr>
                <w:sz w:val="20"/>
                <w:szCs w:val="20"/>
              </w:rPr>
            </w:pPr>
          </w:p>
          <w:p w14:paraId="5930251A" w14:textId="77777777" w:rsidR="00945086" w:rsidRPr="002D5512" w:rsidRDefault="00945086" w:rsidP="00C66D20">
            <w:pPr>
              <w:rPr>
                <w:sz w:val="20"/>
                <w:szCs w:val="20"/>
              </w:rPr>
            </w:pPr>
          </w:p>
          <w:p w14:paraId="270C499D" w14:textId="77777777" w:rsidR="00945086" w:rsidRPr="002D5512" w:rsidRDefault="00945086" w:rsidP="00C66D20">
            <w:pPr>
              <w:jc w:val="center"/>
              <w:rPr>
                <w:sz w:val="20"/>
                <w:szCs w:val="20"/>
              </w:rPr>
            </w:pPr>
            <w:r w:rsidRPr="002D5512">
              <w:rPr>
                <w:sz w:val="20"/>
                <w:szCs w:val="20"/>
              </w:rPr>
              <w:t>(iii)</w:t>
            </w:r>
          </w:p>
        </w:tc>
        <w:tc>
          <w:tcPr>
            <w:tcW w:w="6134" w:type="dxa"/>
            <w:tcBorders>
              <w:top w:val="nil"/>
              <w:bottom w:val="single" w:sz="4" w:space="0" w:color="auto"/>
            </w:tcBorders>
          </w:tcPr>
          <w:p w14:paraId="1D70C67B" w14:textId="77777777" w:rsidR="00945086" w:rsidRPr="002D5512" w:rsidRDefault="00945086" w:rsidP="00C66D20">
            <w:pPr>
              <w:rPr>
                <w:sz w:val="20"/>
                <w:szCs w:val="20"/>
              </w:rPr>
            </w:pPr>
            <w:r>
              <w:rPr>
                <w:sz w:val="20"/>
                <w:szCs w:val="20"/>
              </w:rPr>
              <w:t>Enthalpy of f</w:t>
            </w:r>
            <w:r w:rsidRPr="002D5512">
              <w:rPr>
                <w:sz w:val="20"/>
                <w:szCs w:val="20"/>
              </w:rPr>
              <w:t>usion is the energy required to change 1 mol of a substance (NaCl) from a solid to a liquid.</w:t>
            </w:r>
          </w:p>
          <w:p w14:paraId="0A7B2A3D" w14:textId="77777777" w:rsidR="00945086" w:rsidRPr="002D5512" w:rsidRDefault="00945086" w:rsidP="00C66D20">
            <w:pPr>
              <w:rPr>
                <w:sz w:val="20"/>
                <w:szCs w:val="20"/>
              </w:rPr>
            </w:pPr>
          </w:p>
          <w:p w14:paraId="32101990" w14:textId="77777777" w:rsidR="00945086" w:rsidRPr="002D5512" w:rsidRDefault="00945086" w:rsidP="00C66D20">
            <w:pPr>
              <w:rPr>
                <w:sz w:val="20"/>
                <w:szCs w:val="20"/>
              </w:rPr>
            </w:pPr>
            <w:r w:rsidRPr="002D5512">
              <w:rPr>
                <w:sz w:val="20"/>
                <w:szCs w:val="20"/>
              </w:rPr>
              <w:t>Fusion of NaCl only requires sufficient heat energy to break / overcome some of the ionic bonds, whereas vaporisation requires much more heat energy to overcome all</w:t>
            </w:r>
            <w:r>
              <w:rPr>
                <w:sz w:val="20"/>
                <w:szCs w:val="20"/>
              </w:rPr>
              <w:t xml:space="preserve"> the ionic bonds, </w:t>
            </w:r>
            <w:r w:rsidRPr="002D5512">
              <w:rPr>
                <w:sz w:val="20"/>
                <w:szCs w:val="20"/>
              </w:rPr>
              <w:t xml:space="preserve">therefore the </w:t>
            </w:r>
            <w:r w:rsidRPr="002D5512">
              <w:rPr>
                <w:sz w:val="20"/>
                <w:szCs w:val="20"/>
              </w:rPr>
              <w:sym w:font="Symbol" w:char="F044"/>
            </w:r>
            <w:r w:rsidRPr="00EB1FAF">
              <w:rPr>
                <w:sz w:val="20"/>
                <w:szCs w:val="20"/>
                <w:vertAlign w:val="subscript"/>
              </w:rPr>
              <w:t>vap</w:t>
            </w:r>
            <w:r w:rsidRPr="00EB1FAF">
              <w:rPr>
                <w:i/>
                <w:sz w:val="20"/>
                <w:szCs w:val="20"/>
              </w:rPr>
              <w:t>H</w:t>
            </w:r>
            <w:r w:rsidRPr="002D5512">
              <w:rPr>
                <w:sz w:val="20"/>
                <w:szCs w:val="20"/>
              </w:rPr>
              <w:sym w:font="Symbol" w:char="F0B0"/>
            </w:r>
            <w:r w:rsidRPr="002D5512">
              <w:rPr>
                <w:sz w:val="20"/>
                <w:szCs w:val="20"/>
              </w:rPr>
              <w:t xml:space="preserve"> of NaCl is much greater than its </w:t>
            </w:r>
            <w:r w:rsidRPr="002D5512">
              <w:rPr>
                <w:sz w:val="20"/>
                <w:szCs w:val="20"/>
              </w:rPr>
              <w:sym w:font="Symbol" w:char="F044"/>
            </w:r>
            <w:r w:rsidRPr="00EB1FAF">
              <w:rPr>
                <w:sz w:val="20"/>
                <w:szCs w:val="20"/>
                <w:vertAlign w:val="subscript"/>
              </w:rPr>
              <w:t>fus</w:t>
            </w:r>
            <w:r w:rsidRPr="00EB1FAF">
              <w:rPr>
                <w:i/>
                <w:sz w:val="20"/>
                <w:szCs w:val="20"/>
              </w:rPr>
              <w:t>H</w:t>
            </w:r>
            <w:r w:rsidRPr="002D5512">
              <w:rPr>
                <w:sz w:val="20"/>
                <w:szCs w:val="20"/>
              </w:rPr>
              <w:sym w:font="Symbol" w:char="F0B0"/>
            </w:r>
            <w:r w:rsidRPr="002D5512">
              <w:rPr>
                <w:sz w:val="20"/>
                <w:szCs w:val="20"/>
              </w:rPr>
              <w:t>.</w:t>
            </w:r>
            <w:r>
              <w:rPr>
                <w:sz w:val="20"/>
                <w:szCs w:val="20"/>
              </w:rPr>
              <w:t xml:space="preserve"> </w:t>
            </w:r>
          </w:p>
          <w:p w14:paraId="2EB17404" w14:textId="77777777" w:rsidR="00945086" w:rsidRPr="002D5512" w:rsidRDefault="00945086" w:rsidP="00C66D20">
            <w:pPr>
              <w:rPr>
                <w:sz w:val="20"/>
                <w:szCs w:val="20"/>
              </w:rPr>
            </w:pPr>
          </w:p>
          <w:p w14:paraId="68BC9AF6" w14:textId="77777777" w:rsidR="00945086" w:rsidRPr="002D5512" w:rsidRDefault="00945086" w:rsidP="00C66D20">
            <w:pPr>
              <w:rPr>
                <w:sz w:val="20"/>
                <w:szCs w:val="20"/>
              </w:rPr>
            </w:pPr>
            <w:r w:rsidRPr="002D5512">
              <w:rPr>
                <w:sz w:val="20"/>
                <w:szCs w:val="20"/>
              </w:rPr>
              <w:t>When solid NaCl dissolves in water, there is an increase in the entropy of the system since the ions in solution have greater entropy than in the solid lattice, i.e. more random</w:t>
            </w:r>
            <w:r>
              <w:rPr>
                <w:sz w:val="20"/>
                <w:szCs w:val="20"/>
              </w:rPr>
              <w:t xml:space="preserve"> / disordered</w:t>
            </w:r>
            <w:r w:rsidRPr="002D5512">
              <w:rPr>
                <w:sz w:val="20"/>
                <w:szCs w:val="20"/>
              </w:rPr>
              <w:t xml:space="preserve"> arrangement.</w:t>
            </w:r>
            <w:r>
              <w:rPr>
                <w:sz w:val="20"/>
                <w:szCs w:val="20"/>
              </w:rPr>
              <w:t xml:space="preserve"> </w:t>
            </w:r>
            <w:r w:rsidRPr="002D5512">
              <w:rPr>
                <w:sz w:val="20"/>
                <w:szCs w:val="20"/>
              </w:rPr>
              <w:t xml:space="preserve">Although the ions in solution </w:t>
            </w:r>
            <w:r>
              <w:rPr>
                <w:sz w:val="20"/>
                <w:szCs w:val="20"/>
              </w:rPr>
              <w:t>have more energy / energetically less stable</w:t>
            </w:r>
            <w:r w:rsidRPr="002D5512">
              <w:rPr>
                <w:sz w:val="20"/>
                <w:szCs w:val="20"/>
              </w:rPr>
              <w:t xml:space="preserve"> than in the solid lattice (since the process is endothermic), the increase in entropy </w:t>
            </w:r>
            <w:r>
              <w:rPr>
                <w:sz w:val="20"/>
                <w:szCs w:val="20"/>
              </w:rPr>
              <w:t xml:space="preserve">makes the process spontaneous. </w:t>
            </w:r>
          </w:p>
        </w:tc>
        <w:tc>
          <w:tcPr>
            <w:tcW w:w="3004" w:type="dxa"/>
            <w:tcBorders>
              <w:top w:val="nil"/>
              <w:bottom w:val="single" w:sz="4" w:space="0" w:color="auto"/>
            </w:tcBorders>
          </w:tcPr>
          <w:p w14:paraId="2691C395" w14:textId="77777777" w:rsidR="00945086" w:rsidRPr="002D5512" w:rsidRDefault="00945086" w:rsidP="00C66D20">
            <w:pPr>
              <w:pStyle w:val="textbullet"/>
              <w:spacing w:after="0"/>
            </w:pPr>
            <w:r w:rsidRPr="002D5512">
              <w:t xml:space="preserve">Defines </w:t>
            </w:r>
            <w:r>
              <w:t xml:space="preserve">enthalpy of </w:t>
            </w:r>
            <w:r w:rsidRPr="002D5512">
              <w:t xml:space="preserve">fusion. </w:t>
            </w:r>
          </w:p>
          <w:p w14:paraId="4108FA67" w14:textId="77777777" w:rsidR="00945086" w:rsidRPr="002D5512" w:rsidRDefault="00945086" w:rsidP="00C66D20">
            <w:pPr>
              <w:rPr>
                <w:sz w:val="20"/>
                <w:szCs w:val="20"/>
              </w:rPr>
            </w:pPr>
          </w:p>
          <w:p w14:paraId="107B2201" w14:textId="77777777" w:rsidR="00945086" w:rsidRPr="002D5512" w:rsidRDefault="00945086" w:rsidP="00C66D20">
            <w:pPr>
              <w:rPr>
                <w:sz w:val="20"/>
                <w:szCs w:val="20"/>
              </w:rPr>
            </w:pPr>
          </w:p>
          <w:p w14:paraId="5ED43902" w14:textId="77777777" w:rsidR="00945086" w:rsidRPr="002D5512" w:rsidRDefault="00945086" w:rsidP="00C66D20">
            <w:pPr>
              <w:rPr>
                <w:sz w:val="20"/>
                <w:szCs w:val="20"/>
              </w:rPr>
            </w:pPr>
          </w:p>
          <w:p w14:paraId="0E9BE7DB" w14:textId="77777777" w:rsidR="00945086" w:rsidRPr="002D5512" w:rsidRDefault="00945086" w:rsidP="00C66D20">
            <w:pPr>
              <w:rPr>
                <w:sz w:val="20"/>
                <w:szCs w:val="20"/>
              </w:rPr>
            </w:pPr>
          </w:p>
          <w:p w14:paraId="0E1A8624" w14:textId="77777777" w:rsidR="00945086" w:rsidRPr="002D5512" w:rsidRDefault="00945086" w:rsidP="00C66D20">
            <w:pPr>
              <w:rPr>
                <w:sz w:val="20"/>
                <w:szCs w:val="20"/>
              </w:rPr>
            </w:pPr>
          </w:p>
          <w:p w14:paraId="2A98D4CB" w14:textId="77777777" w:rsidR="00945086" w:rsidRPr="002D5512" w:rsidRDefault="00945086" w:rsidP="00C66D20">
            <w:pPr>
              <w:rPr>
                <w:sz w:val="20"/>
                <w:szCs w:val="20"/>
              </w:rPr>
            </w:pPr>
          </w:p>
          <w:p w14:paraId="44282EB0" w14:textId="77777777" w:rsidR="00945086" w:rsidRPr="002D5512" w:rsidRDefault="00945086" w:rsidP="00C66D20">
            <w:pPr>
              <w:rPr>
                <w:sz w:val="20"/>
                <w:szCs w:val="20"/>
              </w:rPr>
            </w:pPr>
          </w:p>
          <w:p w14:paraId="5493DF97" w14:textId="77777777" w:rsidR="00945086" w:rsidRPr="002D5512" w:rsidRDefault="00945086" w:rsidP="00C66D20">
            <w:pPr>
              <w:pStyle w:val="textbullet"/>
              <w:spacing w:after="0"/>
            </w:pPr>
            <w:r w:rsidRPr="002D5512">
              <w:t>Identifies entropy of system incr</w:t>
            </w:r>
            <w:r>
              <w:t>eases / positive entropy chang</w:t>
            </w:r>
          </w:p>
        </w:tc>
        <w:tc>
          <w:tcPr>
            <w:tcW w:w="2748" w:type="dxa"/>
            <w:tcBorders>
              <w:top w:val="nil"/>
              <w:bottom w:val="single" w:sz="4" w:space="0" w:color="auto"/>
            </w:tcBorders>
          </w:tcPr>
          <w:p w14:paraId="47F592E6" w14:textId="77777777" w:rsidR="00945086" w:rsidRDefault="00945086" w:rsidP="00C66D20">
            <w:pPr>
              <w:pStyle w:val="textbullet"/>
              <w:numPr>
                <w:ilvl w:val="0"/>
                <w:numId w:val="0"/>
              </w:numPr>
              <w:spacing w:after="0"/>
            </w:pPr>
          </w:p>
          <w:p w14:paraId="331162BD" w14:textId="77777777" w:rsidR="00945086" w:rsidRDefault="00945086" w:rsidP="00C66D20">
            <w:pPr>
              <w:pStyle w:val="textbullet"/>
              <w:numPr>
                <w:ilvl w:val="0"/>
                <w:numId w:val="0"/>
              </w:numPr>
              <w:spacing w:after="0"/>
              <w:ind w:left="170" w:hanging="170"/>
            </w:pPr>
          </w:p>
          <w:p w14:paraId="3D05B6B1" w14:textId="77777777" w:rsidR="00945086" w:rsidRDefault="00945086" w:rsidP="00C66D20">
            <w:pPr>
              <w:pStyle w:val="textbullet"/>
              <w:numPr>
                <w:ilvl w:val="0"/>
                <w:numId w:val="0"/>
              </w:numPr>
              <w:spacing w:after="0"/>
              <w:ind w:left="170" w:hanging="170"/>
            </w:pPr>
          </w:p>
          <w:p w14:paraId="1F3E6976" w14:textId="77777777" w:rsidR="00945086" w:rsidRDefault="00945086" w:rsidP="00C66D20">
            <w:pPr>
              <w:pStyle w:val="textbullet"/>
              <w:spacing w:after="0"/>
            </w:pPr>
            <w:r w:rsidRPr="002D5512">
              <w:t xml:space="preserve">Links the difference in </w:t>
            </w:r>
            <w:r w:rsidRPr="002D5512">
              <w:sym w:font="Symbol" w:char="F044"/>
            </w:r>
            <w:r w:rsidRPr="00EB1FAF">
              <w:rPr>
                <w:vertAlign w:val="subscript"/>
              </w:rPr>
              <w:t>vap</w:t>
            </w:r>
            <w:r w:rsidRPr="00EB1FAF">
              <w:rPr>
                <w:i/>
              </w:rPr>
              <w:t>H</w:t>
            </w:r>
            <w:r w:rsidRPr="002D5512">
              <w:sym w:font="Symbol" w:char="F0B0"/>
            </w:r>
            <w:r w:rsidRPr="002D5512">
              <w:t xml:space="preserve"> and </w:t>
            </w:r>
            <w:r w:rsidRPr="002D5512">
              <w:sym w:font="Symbol" w:char="F044"/>
            </w:r>
            <w:r w:rsidRPr="00EB1FAF">
              <w:rPr>
                <w:vertAlign w:val="subscript"/>
              </w:rPr>
              <w:t>fus</w:t>
            </w:r>
            <w:r w:rsidRPr="00EB1FAF">
              <w:rPr>
                <w:i/>
              </w:rPr>
              <w:t>H</w:t>
            </w:r>
            <w:r w:rsidRPr="002D5512">
              <w:sym w:font="Symbol" w:char="F0B0"/>
            </w:r>
            <w:r w:rsidRPr="002D5512">
              <w:t xml:space="preserve"> to the number of bonds broken. </w:t>
            </w:r>
          </w:p>
          <w:p w14:paraId="3860A072" w14:textId="77777777" w:rsidR="00945086" w:rsidRDefault="00945086" w:rsidP="00C66D20">
            <w:pPr>
              <w:pStyle w:val="textbullet"/>
              <w:numPr>
                <w:ilvl w:val="0"/>
                <w:numId w:val="0"/>
              </w:numPr>
              <w:spacing w:after="0"/>
            </w:pPr>
          </w:p>
          <w:p w14:paraId="6DF80150" w14:textId="77777777" w:rsidR="00945086" w:rsidRPr="002D5512" w:rsidRDefault="00945086" w:rsidP="00C66D20">
            <w:pPr>
              <w:pStyle w:val="textbullet"/>
              <w:numPr>
                <w:ilvl w:val="0"/>
                <w:numId w:val="0"/>
              </w:numPr>
              <w:spacing w:after="0"/>
            </w:pPr>
          </w:p>
          <w:p w14:paraId="5E575A57" w14:textId="77777777" w:rsidR="00945086" w:rsidRPr="002D5512" w:rsidRDefault="00945086" w:rsidP="00C66D20">
            <w:pPr>
              <w:pStyle w:val="textbullet"/>
              <w:spacing w:after="0"/>
            </w:pPr>
            <w:r w:rsidRPr="002D5512">
              <w:t>Lin</w:t>
            </w:r>
            <w:r>
              <w:t>ks an increase in entropy to an</w:t>
            </w:r>
            <w:r w:rsidRPr="002D5512">
              <w:t xml:space="preserve"> increased ra</w:t>
            </w:r>
            <w:r>
              <w:t xml:space="preserve">ndom arrangement of particles. </w:t>
            </w:r>
          </w:p>
        </w:tc>
        <w:tc>
          <w:tcPr>
            <w:tcW w:w="2748" w:type="dxa"/>
            <w:tcBorders>
              <w:top w:val="nil"/>
              <w:bottom w:val="single" w:sz="4" w:space="0" w:color="auto"/>
            </w:tcBorders>
          </w:tcPr>
          <w:p w14:paraId="5831943F" w14:textId="77777777" w:rsidR="00945086" w:rsidRDefault="00945086" w:rsidP="00C66D20">
            <w:pPr>
              <w:pStyle w:val="textbullet"/>
              <w:numPr>
                <w:ilvl w:val="0"/>
                <w:numId w:val="0"/>
              </w:numPr>
              <w:spacing w:after="0"/>
            </w:pPr>
          </w:p>
          <w:p w14:paraId="01110A29" w14:textId="77777777" w:rsidR="00945086" w:rsidRDefault="00945086" w:rsidP="00C66D20">
            <w:pPr>
              <w:pStyle w:val="textbullet"/>
              <w:numPr>
                <w:ilvl w:val="0"/>
                <w:numId w:val="0"/>
              </w:numPr>
              <w:spacing w:after="0"/>
              <w:ind w:left="170" w:hanging="170"/>
            </w:pPr>
          </w:p>
          <w:p w14:paraId="05BF6F23" w14:textId="77777777" w:rsidR="00945086" w:rsidRDefault="00945086" w:rsidP="00C66D20">
            <w:pPr>
              <w:pStyle w:val="textbullet"/>
              <w:numPr>
                <w:ilvl w:val="0"/>
                <w:numId w:val="0"/>
              </w:numPr>
              <w:spacing w:after="0"/>
              <w:ind w:left="170" w:hanging="170"/>
            </w:pPr>
          </w:p>
          <w:p w14:paraId="1C173396" w14:textId="77777777" w:rsidR="00945086" w:rsidRPr="002D5512" w:rsidRDefault="00945086" w:rsidP="00C66D20">
            <w:pPr>
              <w:pStyle w:val="textbullet"/>
              <w:spacing w:after="0"/>
            </w:pPr>
            <w:r w:rsidRPr="002D5512">
              <w:t>Full explanation for both (ii) an (iii).</w:t>
            </w:r>
            <w:r>
              <w:t xml:space="preserve"> </w:t>
            </w:r>
          </w:p>
          <w:p w14:paraId="4122C45C" w14:textId="77777777" w:rsidR="00945086" w:rsidRPr="002D5512" w:rsidRDefault="00945086" w:rsidP="00C66D20">
            <w:pPr>
              <w:pStyle w:val="textbullet"/>
              <w:numPr>
                <w:ilvl w:val="0"/>
                <w:numId w:val="0"/>
              </w:numPr>
              <w:spacing w:after="0"/>
              <w:ind w:left="170"/>
            </w:pPr>
            <w:r w:rsidRPr="002D5512">
              <w:t>(Both enthalpy and entropy discussed with correct conclusion given in (iii)</w:t>
            </w:r>
            <w:r>
              <w:t>)</w:t>
            </w:r>
          </w:p>
        </w:tc>
      </w:tr>
    </w:tbl>
    <w:p w14:paraId="7558CB7D" w14:textId="77777777" w:rsidR="00945086" w:rsidRPr="00945086" w:rsidRDefault="00945086">
      <w:pPr>
        <w:rPr>
          <w:b/>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675"/>
        <w:gridCol w:w="6134"/>
        <w:gridCol w:w="2258"/>
        <w:gridCol w:w="2835"/>
        <w:gridCol w:w="3407"/>
      </w:tblGrid>
      <w:tr w:rsidR="00945086" w:rsidRPr="00945086" w14:paraId="6FD8045A" w14:textId="77777777" w:rsidTr="005D52D3">
        <w:trPr>
          <w:cantSplit/>
          <w:trHeight w:val="286"/>
        </w:trPr>
        <w:tc>
          <w:tcPr>
            <w:tcW w:w="675" w:type="dxa"/>
          </w:tcPr>
          <w:p w14:paraId="6A837D4F" w14:textId="77777777" w:rsidR="00945086" w:rsidRPr="00945086" w:rsidRDefault="00945086" w:rsidP="00945086">
            <w:pPr>
              <w:jc w:val="center"/>
              <w:rPr>
                <w:b/>
                <w:sz w:val="20"/>
                <w:szCs w:val="20"/>
              </w:rPr>
            </w:pPr>
            <w:r w:rsidRPr="00945086">
              <w:rPr>
                <w:b/>
                <w:sz w:val="20"/>
                <w:szCs w:val="20"/>
              </w:rPr>
              <w:t>2015</w:t>
            </w:r>
          </w:p>
        </w:tc>
        <w:tc>
          <w:tcPr>
            <w:tcW w:w="6134" w:type="dxa"/>
            <w:shd w:val="clear" w:color="auto" w:fill="auto"/>
          </w:tcPr>
          <w:p w14:paraId="516B2620" w14:textId="77777777" w:rsidR="00945086" w:rsidRPr="00945086" w:rsidRDefault="00945086" w:rsidP="00C66D20">
            <w:pPr>
              <w:rPr>
                <w:b/>
                <w:sz w:val="20"/>
                <w:szCs w:val="20"/>
              </w:rPr>
            </w:pPr>
            <w:r>
              <w:rPr>
                <w:b/>
                <w:sz w:val="20"/>
                <w:szCs w:val="20"/>
              </w:rPr>
              <w:t>Evidence</w:t>
            </w:r>
          </w:p>
        </w:tc>
        <w:tc>
          <w:tcPr>
            <w:tcW w:w="2258" w:type="dxa"/>
            <w:shd w:val="clear" w:color="auto" w:fill="auto"/>
          </w:tcPr>
          <w:p w14:paraId="16A27F15" w14:textId="77777777" w:rsidR="00945086" w:rsidRPr="00945086" w:rsidRDefault="00945086" w:rsidP="00945086">
            <w:pPr>
              <w:pStyle w:val="textbullet"/>
              <w:numPr>
                <w:ilvl w:val="0"/>
                <w:numId w:val="0"/>
              </w:numPr>
              <w:ind w:left="220" w:hanging="220"/>
              <w:rPr>
                <w:b/>
              </w:rPr>
            </w:pPr>
            <w:r w:rsidRPr="00945086">
              <w:rPr>
                <w:b/>
              </w:rPr>
              <w:t>Achievement</w:t>
            </w:r>
          </w:p>
        </w:tc>
        <w:tc>
          <w:tcPr>
            <w:tcW w:w="2835" w:type="dxa"/>
            <w:shd w:val="clear" w:color="auto" w:fill="auto"/>
          </w:tcPr>
          <w:p w14:paraId="72F1F9DB" w14:textId="77777777" w:rsidR="00945086" w:rsidRPr="00945086" w:rsidRDefault="00945086" w:rsidP="00945086">
            <w:pPr>
              <w:pStyle w:val="textbullet"/>
              <w:numPr>
                <w:ilvl w:val="0"/>
                <w:numId w:val="0"/>
              </w:numPr>
              <w:ind w:left="220" w:hanging="220"/>
              <w:rPr>
                <w:b/>
              </w:rPr>
            </w:pPr>
            <w:r w:rsidRPr="00945086">
              <w:rPr>
                <w:b/>
              </w:rPr>
              <w:t>Achievement with Merit</w:t>
            </w:r>
          </w:p>
        </w:tc>
        <w:tc>
          <w:tcPr>
            <w:tcW w:w="3407" w:type="dxa"/>
            <w:shd w:val="clear" w:color="auto" w:fill="auto"/>
          </w:tcPr>
          <w:p w14:paraId="480B2D5C" w14:textId="77777777" w:rsidR="00945086" w:rsidRPr="00945086" w:rsidRDefault="00945086" w:rsidP="00945086">
            <w:pPr>
              <w:pStyle w:val="textbullet"/>
              <w:numPr>
                <w:ilvl w:val="0"/>
                <w:numId w:val="0"/>
              </w:numPr>
              <w:ind w:left="220" w:hanging="220"/>
              <w:rPr>
                <w:b/>
              </w:rPr>
            </w:pPr>
            <w:r w:rsidRPr="00945086">
              <w:rPr>
                <w:b/>
              </w:rPr>
              <w:t>Achievement with Excellence</w:t>
            </w:r>
          </w:p>
        </w:tc>
      </w:tr>
      <w:tr w:rsidR="00945086" w:rsidRPr="006E2FD0" w14:paraId="01B2DA36" w14:textId="77777777" w:rsidTr="005D52D3">
        <w:trPr>
          <w:cantSplit/>
        </w:trPr>
        <w:tc>
          <w:tcPr>
            <w:tcW w:w="675" w:type="dxa"/>
          </w:tcPr>
          <w:p w14:paraId="4D2BDA0B" w14:textId="77777777" w:rsidR="00945086" w:rsidRPr="00945086" w:rsidRDefault="00945086" w:rsidP="00945086">
            <w:pPr>
              <w:rPr>
                <w:sz w:val="20"/>
                <w:szCs w:val="20"/>
              </w:rPr>
            </w:pPr>
            <w:r w:rsidRPr="00945086">
              <w:rPr>
                <w:sz w:val="20"/>
                <w:szCs w:val="20"/>
              </w:rPr>
              <w:t>(a)(i)</w:t>
            </w:r>
          </w:p>
        </w:tc>
        <w:tc>
          <w:tcPr>
            <w:tcW w:w="6134" w:type="dxa"/>
            <w:shd w:val="clear" w:color="auto" w:fill="auto"/>
          </w:tcPr>
          <w:p w14:paraId="2658C0D3" w14:textId="77777777" w:rsidR="00945086" w:rsidRPr="00945086" w:rsidRDefault="00945086" w:rsidP="00945086">
            <w:pPr>
              <w:rPr>
                <w:sz w:val="20"/>
                <w:szCs w:val="20"/>
              </w:rPr>
            </w:pPr>
            <w:r w:rsidRPr="00945086">
              <w:rPr>
                <w:sz w:val="20"/>
                <w:szCs w:val="20"/>
              </w:rPr>
              <w:t>H</w:t>
            </w:r>
            <w:r w:rsidRPr="00945086">
              <w:rPr>
                <w:sz w:val="20"/>
                <w:szCs w:val="20"/>
                <w:vertAlign w:val="subscript"/>
              </w:rPr>
              <w:t>2</w:t>
            </w:r>
            <w:r w:rsidRPr="00945086">
              <w:rPr>
                <w:sz w:val="20"/>
                <w:szCs w:val="20"/>
              </w:rPr>
              <w:t>(g) + ½O</w:t>
            </w:r>
            <w:r w:rsidRPr="00945086">
              <w:rPr>
                <w:sz w:val="20"/>
                <w:szCs w:val="20"/>
                <w:vertAlign w:val="subscript"/>
              </w:rPr>
              <w:t>2</w:t>
            </w:r>
            <w:r w:rsidRPr="00945086">
              <w:rPr>
                <w:sz w:val="20"/>
                <w:szCs w:val="20"/>
              </w:rPr>
              <w:t xml:space="preserve">(g) </w:t>
            </w:r>
            <w:r w:rsidRPr="00945086">
              <w:rPr>
                <w:sz w:val="20"/>
                <w:szCs w:val="20"/>
              </w:rPr>
              <w:sym w:font="Symbol" w:char="F0AE"/>
            </w:r>
            <w:r w:rsidRPr="00945086">
              <w:rPr>
                <w:sz w:val="20"/>
                <w:szCs w:val="20"/>
              </w:rPr>
              <w:t xml:space="preserve"> H</w:t>
            </w:r>
            <w:r w:rsidRPr="00945086">
              <w:rPr>
                <w:sz w:val="20"/>
                <w:szCs w:val="20"/>
                <w:vertAlign w:val="subscript"/>
              </w:rPr>
              <w:t>2</w:t>
            </w:r>
            <w:r w:rsidRPr="00945086">
              <w:rPr>
                <w:sz w:val="20"/>
                <w:szCs w:val="20"/>
              </w:rPr>
              <w:t>O(</w:t>
            </w:r>
            <w:r>
              <w:rPr>
                <w:sz w:val="20"/>
                <w:szCs w:val="20"/>
              </w:rPr>
              <w:t>l</w:t>
            </w:r>
            <w:r w:rsidRPr="00945086">
              <w:rPr>
                <w:sz w:val="20"/>
                <w:szCs w:val="20"/>
              </w:rPr>
              <w:t>)</w:t>
            </w:r>
          </w:p>
        </w:tc>
        <w:tc>
          <w:tcPr>
            <w:tcW w:w="2258" w:type="dxa"/>
            <w:shd w:val="clear" w:color="auto" w:fill="auto"/>
          </w:tcPr>
          <w:p w14:paraId="35EA168D" w14:textId="77777777" w:rsidR="00945086" w:rsidRPr="004F216F" w:rsidRDefault="00945086" w:rsidP="00C66D20">
            <w:pPr>
              <w:pStyle w:val="textbullet"/>
              <w:widowControl/>
              <w:numPr>
                <w:ilvl w:val="0"/>
                <w:numId w:val="4"/>
              </w:numPr>
            </w:pPr>
            <w:r w:rsidRPr="006E2FD0">
              <w:t>Correct equation including states.</w:t>
            </w:r>
          </w:p>
        </w:tc>
        <w:tc>
          <w:tcPr>
            <w:tcW w:w="2835" w:type="dxa"/>
            <w:shd w:val="clear" w:color="auto" w:fill="auto"/>
          </w:tcPr>
          <w:p w14:paraId="706FE607" w14:textId="77777777" w:rsidR="00945086" w:rsidRPr="006E2FD0" w:rsidRDefault="00945086" w:rsidP="00945086">
            <w:pPr>
              <w:pStyle w:val="textbullet"/>
              <w:numPr>
                <w:ilvl w:val="0"/>
                <w:numId w:val="0"/>
              </w:numPr>
              <w:spacing w:after="0"/>
            </w:pPr>
          </w:p>
        </w:tc>
        <w:tc>
          <w:tcPr>
            <w:tcW w:w="3407" w:type="dxa"/>
            <w:shd w:val="clear" w:color="auto" w:fill="auto"/>
          </w:tcPr>
          <w:p w14:paraId="0FD88D56" w14:textId="77777777" w:rsidR="00945086" w:rsidRPr="006E2FD0" w:rsidRDefault="00945086" w:rsidP="00945086">
            <w:pPr>
              <w:pStyle w:val="textbullet"/>
              <w:numPr>
                <w:ilvl w:val="0"/>
                <w:numId w:val="0"/>
              </w:numPr>
              <w:spacing w:after="0"/>
            </w:pPr>
          </w:p>
        </w:tc>
      </w:tr>
      <w:tr w:rsidR="00945086" w:rsidRPr="006E2FD0" w14:paraId="6D841516" w14:textId="77777777" w:rsidTr="005D52D3">
        <w:trPr>
          <w:cantSplit/>
        </w:trPr>
        <w:tc>
          <w:tcPr>
            <w:tcW w:w="675" w:type="dxa"/>
          </w:tcPr>
          <w:p w14:paraId="456A0569" w14:textId="77777777" w:rsidR="00945086" w:rsidRPr="00945086" w:rsidRDefault="00945086" w:rsidP="00945086">
            <w:pPr>
              <w:rPr>
                <w:sz w:val="20"/>
                <w:szCs w:val="20"/>
              </w:rPr>
            </w:pPr>
            <w:r w:rsidRPr="00945086">
              <w:rPr>
                <w:sz w:val="20"/>
                <w:szCs w:val="20"/>
              </w:rPr>
              <w:t>(ii)</w:t>
            </w:r>
          </w:p>
        </w:tc>
        <w:tc>
          <w:tcPr>
            <w:tcW w:w="6134" w:type="dxa"/>
            <w:shd w:val="clear" w:color="auto" w:fill="auto"/>
          </w:tcPr>
          <w:p w14:paraId="0F5E650B" w14:textId="77777777" w:rsidR="00945086" w:rsidRPr="00945086" w:rsidRDefault="00945086" w:rsidP="00945086">
            <w:pPr>
              <w:rPr>
                <w:sz w:val="20"/>
                <w:szCs w:val="20"/>
              </w:rPr>
            </w:pPr>
            <w:r w:rsidRPr="00945086">
              <w:rPr>
                <w:sz w:val="20"/>
                <w:szCs w:val="20"/>
              </w:rPr>
              <w:t>The equation for the combustion of hydrogen is the same as the equation for the heat of formation of water.</w:t>
            </w:r>
          </w:p>
        </w:tc>
        <w:tc>
          <w:tcPr>
            <w:tcW w:w="2258" w:type="dxa"/>
            <w:shd w:val="clear" w:color="auto" w:fill="auto"/>
          </w:tcPr>
          <w:p w14:paraId="3356FD96" w14:textId="77777777" w:rsidR="00945086" w:rsidRPr="004F216F" w:rsidRDefault="00945086" w:rsidP="00C66D20">
            <w:pPr>
              <w:pStyle w:val="textbullet"/>
              <w:widowControl/>
              <w:numPr>
                <w:ilvl w:val="0"/>
                <w:numId w:val="4"/>
              </w:numPr>
            </w:pPr>
            <w:r w:rsidRPr="006E2FD0">
              <w:t>Correct explanation.</w:t>
            </w:r>
          </w:p>
        </w:tc>
        <w:tc>
          <w:tcPr>
            <w:tcW w:w="2835" w:type="dxa"/>
            <w:shd w:val="clear" w:color="auto" w:fill="auto"/>
          </w:tcPr>
          <w:p w14:paraId="2B4B2BE0" w14:textId="77777777" w:rsidR="00945086" w:rsidRPr="006E2FD0" w:rsidRDefault="00945086" w:rsidP="00945086">
            <w:pPr>
              <w:pStyle w:val="textbullet"/>
              <w:numPr>
                <w:ilvl w:val="0"/>
                <w:numId w:val="0"/>
              </w:numPr>
              <w:spacing w:after="0"/>
            </w:pPr>
          </w:p>
        </w:tc>
        <w:tc>
          <w:tcPr>
            <w:tcW w:w="3407" w:type="dxa"/>
            <w:shd w:val="clear" w:color="auto" w:fill="auto"/>
          </w:tcPr>
          <w:p w14:paraId="7DDEF5AE" w14:textId="77777777" w:rsidR="00945086" w:rsidRPr="006E2FD0" w:rsidRDefault="00945086" w:rsidP="00945086">
            <w:pPr>
              <w:pStyle w:val="textbullet"/>
              <w:numPr>
                <w:ilvl w:val="0"/>
                <w:numId w:val="0"/>
              </w:numPr>
              <w:spacing w:after="0"/>
            </w:pPr>
          </w:p>
        </w:tc>
      </w:tr>
      <w:tr w:rsidR="00945086" w:rsidRPr="006E2FD0" w14:paraId="55AEAC1C" w14:textId="77777777" w:rsidTr="005D52D3">
        <w:trPr>
          <w:cantSplit/>
        </w:trPr>
        <w:tc>
          <w:tcPr>
            <w:tcW w:w="675" w:type="dxa"/>
          </w:tcPr>
          <w:p w14:paraId="7F29D703" w14:textId="77777777" w:rsidR="00945086" w:rsidRPr="00945086" w:rsidRDefault="00945086" w:rsidP="00945086">
            <w:pPr>
              <w:rPr>
                <w:sz w:val="20"/>
                <w:szCs w:val="20"/>
              </w:rPr>
            </w:pPr>
            <w:r w:rsidRPr="00945086">
              <w:rPr>
                <w:sz w:val="20"/>
                <w:szCs w:val="20"/>
              </w:rPr>
              <w:t>(b)(i)</w:t>
            </w:r>
          </w:p>
          <w:p w14:paraId="032A8F32" w14:textId="77777777" w:rsidR="00945086" w:rsidRPr="00945086" w:rsidRDefault="00945086" w:rsidP="00945086">
            <w:pPr>
              <w:rPr>
                <w:sz w:val="20"/>
                <w:szCs w:val="20"/>
              </w:rPr>
            </w:pPr>
            <w:r w:rsidRPr="00945086">
              <w:rPr>
                <w:sz w:val="20"/>
                <w:szCs w:val="20"/>
              </w:rPr>
              <w:t>(ii)</w:t>
            </w:r>
          </w:p>
        </w:tc>
        <w:tc>
          <w:tcPr>
            <w:tcW w:w="6134" w:type="dxa"/>
            <w:shd w:val="clear" w:color="auto" w:fill="auto"/>
          </w:tcPr>
          <w:p w14:paraId="12C42372" w14:textId="77777777" w:rsidR="00945086" w:rsidRPr="00945086" w:rsidRDefault="00945086" w:rsidP="00945086">
            <w:pPr>
              <w:rPr>
                <w:sz w:val="20"/>
                <w:szCs w:val="20"/>
              </w:rPr>
            </w:pPr>
            <w:r w:rsidRPr="00945086">
              <w:rPr>
                <w:sz w:val="20"/>
                <w:szCs w:val="20"/>
              </w:rPr>
              <w:t xml:space="preserve">The </w:t>
            </w:r>
            <w:r w:rsidRPr="00945086">
              <w:rPr>
                <w:sz w:val="20"/>
                <w:szCs w:val="20"/>
              </w:rPr>
              <w:sym w:font="Symbol" w:char="F044"/>
            </w:r>
            <w:r w:rsidRPr="00945086">
              <w:rPr>
                <w:sz w:val="20"/>
                <w:szCs w:val="20"/>
                <w:vertAlign w:val="subscript"/>
              </w:rPr>
              <w:t>f</w:t>
            </w:r>
            <w:r w:rsidRPr="00945086">
              <w:rPr>
                <w:sz w:val="20"/>
                <w:szCs w:val="20"/>
              </w:rPr>
              <w:t>H° (H</w:t>
            </w:r>
            <w:r w:rsidRPr="00945086">
              <w:rPr>
                <w:sz w:val="20"/>
                <w:szCs w:val="20"/>
                <w:vertAlign w:val="subscript"/>
              </w:rPr>
              <w:t>2</w:t>
            </w:r>
            <w:r w:rsidRPr="00945086">
              <w:rPr>
                <w:sz w:val="20"/>
                <w:szCs w:val="20"/>
              </w:rPr>
              <w:t xml:space="preserve">O(g)) will be less negative than </w:t>
            </w:r>
            <w:r w:rsidRPr="00945086">
              <w:rPr>
                <w:sz w:val="20"/>
                <w:szCs w:val="20"/>
              </w:rPr>
              <w:sym w:font="Symbol" w:char="F044"/>
            </w:r>
            <w:r w:rsidRPr="00945086">
              <w:rPr>
                <w:sz w:val="20"/>
                <w:szCs w:val="20"/>
                <w:vertAlign w:val="subscript"/>
              </w:rPr>
              <w:t>f</w:t>
            </w:r>
            <w:r w:rsidRPr="00945086">
              <w:rPr>
                <w:sz w:val="20"/>
                <w:szCs w:val="20"/>
              </w:rPr>
              <w:t>H° (H</w:t>
            </w:r>
            <w:r w:rsidRPr="00945086">
              <w:rPr>
                <w:sz w:val="20"/>
                <w:szCs w:val="20"/>
                <w:vertAlign w:val="subscript"/>
              </w:rPr>
              <w:t>2</w:t>
            </w:r>
            <w:r w:rsidRPr="00945086">
              <w:rPr>
                <w:sz w:val="20"/>
                <w:szCs w:val="20"/>
              </w:rPr>
              <w:t xml:space="preserve">O(l)).   </w:t>
            </w:r>
          </w:p>
          <w:p w14:paraId="09907B53" w14:textId="77777777" w:rsidR="00945086" w:rsidRPr="00945086" w:rsidRDefault="00945086" w:rsidP="00945086">
            <w:pPr>
              <w:rPr>
                <w:sz w:val="20"/>
                <w:szCs w:val="20"/>
              </w:rPr>
            </w:pPr>
            <w:r w:rsidRPr="00945086">
              <w:rPr>
                <w:sz w:val="20"/>
                <w:szCs w:val="20"/>
              </w:rPr>
              <w:t xml:space="preserve">Making bonds releases energy. As less bonding is present in water as a gas than a liquid then less energy will be released when gaseous water is formed thus the </w:t>
            </w:r>
            <w:r w:rsidRPr="00945086">
              <w:rPr>
                <w:sz w:val="20"/>
                <w:szCs w:val="20"/>
              </w:rPr>
              <w:sym w:font="Symbol" w:char="F044"/>
            </w:r>
            <w:r w:rsidRPr="00945086">
              <w:rPr>
                <w:sz w:val="20"/>
                <w:szCs w:val="20"/>
                <w:vertAlign w:val="subscript"/>
              </w:rPr>
              <w:t>f</w:t>
            </w:r>
            <w:r w:rsidRPr="00945086">
              <w:rPr>
                <w:sz w:val="20"/>
                <w:szCs w:val="20"/>
              </w:rPr>
              <w:t>H° (H</w:t>
            </w:r>
            <w:r w:rsidRPr="00945086">
              <w:rPr>
                <w:sz w:val="20"/>
                <w:szCs w:val="20"/>
                <w:vertAlign w:val="subscript"/>
              </w:rPr>
              <w:t>2</w:t>
            </w:r>
            <w:r w:rsidRPr="00945086">
              <w:rPr>
                <w:sz w:val="20"/>
                <w:szCs w:val="20"/>
              </w:rPr>
              <w:t>O(g)) will be less negative.</w:t>
            </w:r>
          </w:p>
        </w:tc>
        <w:tc>
          <w:tcPr>
            <w:tcW w:w="2258" w:type="dxa"/>
            <w:shd w:val="clear" w:color="auto" w:fill="auto"/>
          </w:tcPr>
          <w:p w14:paraId="06D7DE65" w14:textId="77777777" w:rsidR="00945086" w:rsidRDefault="00945086" w:rsidP="00C66D20">
            <w:pPr>
              <w:pStyle w:val="textbullet"/>
              <w:widowControl/>
              <w:numPr>
                <w:ilvl w:val="0"/>
                <w:numId w:val="4"/>
              </w:numPr>
            </w:pPr>
            <w:r>
              <w:t>Less</w:t>
            </w:r>
            <w:r w:rsidRPr="006E2FD0">
              <w:t xml:space="preserve"> negative.</w:t>
            </w:r>
          </w:p>
          <w:p w14:paraId="227B87DC" w14:textId="77777777" w:rsidR="00945086" w:rsidRDefault="00945086" w:rsidP="00945086">
            <w:pPr>
              <w:pStyle w:val="textbullet"/>
              <w:numPr>
                <w:ilvl w:val="0"/>
                <w:numId w:val="0"/>
              </w:numPr>
              <w:spacing w:after="0"/>
              <w:ind w:left="220" w:hanging="220"/>
            </w:pPr>
          </w:p>
          <w:p w14:paraId="7817BB1D" w14:textId="77777777" w:rsidR="00945086" w:rsidRPr="004F216F" w:rsidRDefault="00945086" w:rsidP="00C66D20">
            <w:pPr>
              <w:pStyle w:val="textbullet"/>
              <w:widowControl/>
              <w:numPr>
                <w:ilvl w:val="0"/>
                <w:numId w:val="4"/>
              </w:numPr>
            </w:pPr>
            <w:r>
              <w:t>Correct statement.</w:t>
            </w:r>
          </w:p>
        </w:tc>
        <w:tc>
          <w:tcPr>
            <w:tcW w:w="2835" w:type="dxa"/>
            <w:shd w:val="clear" w:color="auto" w:fill="auto"/>
          </w:tcPr>
          <w:p w14:paraId="41725094" w14:textId="77777777" w:rsidR="00945086" w:rsidRDefault="00945086" w:rsidP="00C66D20">
            <w:pPr>
              <w:pStyle w:val="textbullet"/>
              <w:widowControl/>
              <w:numPr>
                <w:ilvl w:val="0"/>
                <w:numId w:val="4"/>
              </w:numPr>
            </w:pPr>
            <w:r>
              <w:t>Less</w:t>
            </w:r>
            <w:r w:rsidRPr="006E2FD0">
              <w:t xml:space="preserve"> negative with a </w:t>
            </w:r>
            <w:r>
              <w:t>correct statement referring to bonds or energy in both states.</w:t>
            </w:r>
          </w:p>
          <w:p w14:paraId="598A2025" w14:textId="77777777" w:rsidR="00945086" w:rsidRPr="00945086" w:rsidRDefault="00945086" w:rsidP="00945086">
            <w:pPr>
              <w:pStyle w:val="textbullet"/>
              <w:numPr>
                <w:ilvl w:val="0"/>
                <w:numId w:val="0"/>
              </w:numPr>
              <w:spacing w:after="0"/>
            </w:pPr>
            <w:r w:rsidRPr="00945086">
              <w:t xml:space="preserve"> </w:t>
            </w:r>
          </w:p>
        </w:tc>
        <w:tc>
          <w:tcPr>
            <w:tcW w:w="3407" w:type="dxa"/>
            <w:shd w:val="clear" w:color="auto" w:fill="auto"/>
          </w:tcPr>
          <w:p w14:paraId="2300183D" w14:textId="77777777" w:rsidR="00945086" w:rsidRPr="006E2FD0" w:rsidRDefault="00945086" w:rsidP="00C66D20">
            <w:pPr>
              <w:pStyle w:val="textbullet"/>
              <w:widowControl/>
              <w:numPr>
                <w:ilvl w:val="0"/>
                <w:numId w:val="4"/>
              </w:numPr>
            </w:pPr>
            <w:r>
              <w:t>Justification linking attractive forces between particles to the change of state and difference in energy.</w:t>
            </w:r>
          </w:p>
        </w:tc>
      </w:tr>
    </w:tbl>
    <w:p w14:paraId="271668E2" w14:textId="77777777" w:rsidR="00ED1E40" w:rsidRDefault="00ED1E40" w:rsidP="002C6BD0">
      <w:pPr>
        <w:ind w:hanging="720"/>
        <w:rPr>
          <w:rFonts w:cs="Arial"/>
        </w:rPr>
      </w:pPr>
    </w:p>
    <w:p w14:paraId="3B62523F" w14:textId="77777777" w:rsidR="005D52D3" w:rsidRDefault="005D52D3" w:rsidP="00ED1E40">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263372A8" w14:textId="77777777" w:rsidR="005D52D3" w:rsidRDefault="005D52D3" w:rsidP="00ED1E40">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2385374A" w14:textId="77777777" w:rsidR="005D52D3" w:rsidRDefault="005D52D3" w:rsidP="00ED1E40">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4582F754" w14:textId="77777777" w:rsidR="005D52D3" w:rsidRDefault="005D52D3" w:rsidP="00ED1E40">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4812C920" w14:textId="77777777" w:rsidR="005D52D3" w:rsidRDefault="005D52D3" w:rsidP="00ED1E40">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7C32DD00" w14:textId="77777777" w:rsidR="005D52D3" w:rsidRDefault="005D52D3" w:rsidP="00ED1E40">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51815AA7" w14:textId="77777777" w:rsidR="005D52D3" w:rsidRDefault="005D52D3" w:rsidP="00ED1E40">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jc w:val="right"/>
        <w:rPr>
          <w:rFonts w:ascii="Times New Roman" w:hAnsi="Times New Roman"/>
          <w:sz w:val="20"/>
          <w:szCs w:val="20"/>
        </w:rPr>
      </w:pPr>
    </w:p>
    <w:p w14:paraId="5D9DDE76"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2EE974AD"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722FFA89"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05C20402"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1C9ACF1B"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20B54BDD"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444F51B8"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17203533"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732A732B"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6163A93F"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65E0061B"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531CF97A"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026A2168"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035D60C1"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59A82590"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3804D868"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644F8F66"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523B7B54" w14:textId="77777777" w:rsidR="005D52D3" w:rsidRDefault="005D52D3"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p>
    <w:p w14:paraId="21C25DB3" w14:textId="4EF71B75" w:rsidR="00DB67BC" w:rsidRPr="00706E08" w:rsidRDefault="00EA78D5" w:rsidP="005D52D3">
      <w:pPr>
        <w:pStyle w:val="BodyText"/>
        <w:tabs>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clear" w:pos="9638"/>
          <w:tab w:val="clear" w:pos="10193"/>
        </w:tabs>
        <w:spacing w:line="240" w:lineRule="auto"/>
        <w:jc w:val="right"/>
        <w:rPr>
          <w:rFonts w:ascii="Times New Roman" w:hAnsi="Times New Roman"/>
          <w:sz w:val="20"/>
          <w:szCs w:val="20"/>
        </w:rPr>
      </w:pPr>
      <w:r w:rsidRPr="00706E08">
        <w:rPr>
          <w:rFonts w:ascii="Times New Roman" w:hAnsi="Times New Roman"/>
          <w:sz w:val="20"/>
          <w:szCs w:val="20"/>
        </w:rPr>
        <w:t xml:space="preserve">©  </w:t>
      </w:r>
      <w:hyperlink r:id="rId5" w:history="1">
        <w:r w:rsidRPr="00706E08">
          <w:rPr>
            <w:rStyle w:val="Hyperlink"/>
            <w:rFonts w:ascii="Times New Roman" w:hAnsi="Times New Roman"/>
            <w:sz w:val="20"/>
            <w:szCs w:val="20"/>
          </w:rPr>
          <w:t>https://www.chemical-minds.com</w:t>
        </w:r>
      </w:hyperlink>
    </w:p>
    <w:p w14:paraId="38916D53" w14:textId="77777777" w:rsidR="00DB67BC" w:rsidRPr="00706E08" w:rsidRDefault="00DB67BC" w:rsidP="005D52D3">
      <w:pPr>
        <w:jc w:val="right"/>
        <w:rPr>
          <w:sz w:val="20"/>
          <w:szCs w:val="20"/>
        </w:rPr>
      </w:pPr>
      <w:r w:rsidRPr="00706E08">
        <w:rPr>
          <w:sz w:val="20"/>
          <w:szCs w:val="20"/>
        </w:rPr>
        <w:t>NCEA questions and answers reproduced with permission from NZ</w:t>
      </w:r>
    </w:p>
    <w:sectPr w:rsidR="00DB67BC" w:rsidRPr="00706E08" w:rsidSect="00EA78D5">
      <w:pgSz w:w="16838" w:h="11906" w:orient="landscape"/>
      <w:pgMar w:top="737" w:right="624"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3" w:usb1="00000000" w:usb2="00000000" w:usb3="00000000" w:csb0="00000001"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94F"/>
    <w:multiLevelType w:val="hybridMultilevel"/>
    <w:tmpl w:val="FD8ED92E"/>
    <w:lvl w:ilvl="0" w:tplc="D0020C1C">
      <w:start w:val="1"/>
      <w:numFmt w:val="bullet"/>
      <w:pStyle w:val="bullet"/>
      <w:lvlText w:val="•"/>
      <w:lvlJc w:val="left"/>
      <w:pPr>
        <w:tabs>
          <w:tab w:val="num" w:pos="0"/>
        </w:tabs>
        <w:ind w:left="-170" w:firstLine="170"/>
      </w:pPr>
      <w:rPr>
        <w:rFonts w:ascii="Times New Roman" w:hAnsi="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sz w:val="20"/>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C5276"/>
    <w:multiLevelType w:val="hybridMultilevel"/>
    <w:tmpl w:val="68CCE570"/>
    <w:lvl w:ilvl="0" w:tplc="290AA8FA">
      <w:start w:val="1"/>
      <w:numFmt w:val="bullet"/>
      <w:pStyle w:val="bullettext"/>
      <w:lvlText w:val="•"/>
      <w:lvlJc w:val="left"/>
      <w:pPr>
        <w:tabs>
          <w:tab w:val="num" w:pos="230"/>
        </w:tabs>
        <w:ind w:left="23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F4CD7"/>
    <w:multiLevelType w:val="hybridMultilevel"/>
    <w:tmpl w:val="BF14FE90"/>
    <w:lvl w:ilvl="0" w:tplc="B476858E">
      <w:start w:val="1"/>
      <w:numFmt w:val="bullet"/>
      <w:pStyle w:val="BULLETED"/>
      <w:lvlText w:val="•"/>
      <w:lvlJc w:val="left"/>
      <w:pPr>
        <w:tabs>
          <w:tab w:val="num" w:pos="170"/>
        </w:tabs>
        <w:ind w:left="170" w:hanging="170"/>
      </w:pPr>
      <w:rPr>
        <w:rFonts w:ascii="Times New Roman" w:hAnsi="Times New Roman" w:cs="Times New Roman" w:hint="default"/>
        <w:sz w:val="16"/>
      </w:rPr>
    </w:lvl>
    <w:lvl w:ilvl="1" w:tplc="D0020C1C">
      <w:start w:val="1"/>
      <w:numFmt w:val="bullet"/>
      <w:lvlText w:val="•"/>
      <w:lvlJc w:val="left"/>
      <w:pPr>
        <w:tabs>
          <w:tab w:val="num" w:pos="1080"/>
        </w:tabs>
        <w:ind w:left="910" w:firstLine="170"/>
      </w:pPr>
      <w:rPr>
        <w:rFonts w:ascii="Times New Roman" w:hAnsi="Times New Roman"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9761D"/>
    <w:multiLevelType w:val="hybridMultilevel"/>
    <w:tmpl w:val="47866B22"/>
    <w:lvl w:ilvl="0" w:tplc="6180D6C6">
      <w:start w:val="1"/>
      <w:numFmt w:val="bullet"/>
      <w:lvlText w:val=""/>
      <w:lvlJc w:val="left"/>
      <w:pPr>
        <w:ind w:left="720" w:hanging="360"/>
      </w:pPr>
      <w:rPr>
        <w:rFonts w:ascii="Symbol" w:hAnsi="Symbol" w:hint="default"/>
        <w:sz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2A7B3F"/>
    <w:multiLevelType w:val="hybridMultilevel"/>
    <w:tmpl w:val="93CEB694"/>
    <w:lvl w:ilvl="0" w:tplc="02942B1E">
      <w:start w:val="1"/>
      <w:numFmt w:val="bullet"/>
      <w:lvlText w:val="•"/>
      <w:lvlJc w:val="left"/>
      <w:pPr>
        <w:tabs>
          <w:tab w:val="num" w:pos="170"/>
        </w:tabs>
        <w:ind w:left="170" w:hanging="17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01F2285"/>
    <w:multiLevelType w:val="hybridMultilevel"/>
    <w:tmpl w:val="EE2231A4"/>
    <w:lvl w:ilvl="0" w:tplc="AB2ADD6A">
      <w:start w:val="1"/>
      <w:numFmt w:val="bullet"/>
      <w:lvlText w:val="•"/>
      <w:lvlJc w:val="left"/>
      <w:pPr>
        <w:tabs>
          <w:tab w:val="num" w:pos="170"/>
        </w:tabs>
        <w:ind w:left="170" w:hanging="17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21E44"/>
    <w:multiLevelType w:val="hybridMultilevel"/>
    <w:tmpl w:val="1FE05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2E1654"/>
    <w:multiLevelType w:val="hybridMultilevel"/>
    <w:tmpl w:val="F022F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00606D"/>
    <w:multiLevelType w:val="hybridMultilevel"/>
    <w:tmpl w:val="2A0A2ED8"/>
    <w:lvl w:ilvl="0" w:tplc="41A85B84">
      <w:start w:val="1"/>
      <w:numFmt w:val="bullet"/>
      <w:lvlText w:val="•"/>
      <w:lvlJc w:val="left"/>
      <w:pPr>
        <w:tabs>
          <w:tab w:val="num" w:pos="360"/>
        </w:tabs>
        <w:ind w:left="360" w:hanging="360"/>
      </w:pPr>
      <w:rPr>
        <w:rFonts w:ascii="Times New Roman" w:hAnsi="Times New Roman"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261AE0"/>
    <w:multiLevelType w:val="hybridMultilevel"/>
    <w:tmpl w:val="5512E752"/>
    <w:lvl w:ilvl="0" w:tplc="C37E66D0">
      <w:start w:val="1"/>
      <w:numFmt w:val="bullet"/>
      <w:pStyle w:val="textbullet"/>
      <w:lvlText w:val=""/>
      <w:lvlJc w:val="left"/>
      <w:pPr>
        <w:ind w:left="890" w:hanging="360"/>
      </w:pPr>
      <w:rPr>
        <w:rFonts w:ascii="Symbol" w:hAnsi="Symbol" w:hint="default"/>
        <w:sz w:val="14"/>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4"/>
  </w:num>
  <w:num w:numId="6">
    <w:abstractNumId w:val="7"/>
  </w:num>
  <w:num w:numId="7">
    <w:abstractNumId w:val="1"/>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42"/>
    <w:rsid w:val="000054C4"/>
    <w:rsid w:val="00023B3E"/>
    <w:rsid w:val="000706EE"/>
    <w:rsid w:val="001E7800"/>
    <w:rsid w:val="001F3090"/>
    <w:rsid w:val="00226A11"/>
    <w:rsid w:val="002C6BD0"/>
    <w:rsid w:val="00384605"/>
    <w:rsid w:val="004111BA"/>
    <w:rsid w:val="00461020"/>
    <w:rsid w:val="005077DB"/>
    <w:rsid w:val="0054561B"/>
    <w:rsid w:val="005742EA"/>
    <w:rsid w:val="00581CBD"/>
    <w:rsid w:val="005D52D3"/>
    <w:rsid w:val="005E2453"/>
    <w:rsid w:val="006D4BEF"/>
    <w:rsid w:val="00706E08"/>
    <w:rsid w:val="00945086"/>
    <w:rsid w:val="009C5A8D"/>
    <w:rsid w:val="00B16F13"/>
    <w:rsid w:val="00B26009"/>
    <w:rsid w:val="00C22A75"/>
    <w:rsid w:val="00C66D20"/>
    <w:rsid w:val="00CE2142"/>
    <w:rsid w:val="00D10711"/>
    <w:rsid w:val="00D82550"/>
    <w:rsid w:val="00DB67BC"/>
    <w:rsid w:val="00E444CD"/>
    <w:rsid w:val="00EA78D5"/>
    <w:rsid w:val="00ED1E40"/>
    <w:rsid w:val="00F16F02"/>
    <w:rsid w:val="00F440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76EF"/>
  <w15:docId w15:val="{73D73345-E73D-414D-9059-CAC8FAA4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90"/>
  </w:style>
  <w:style w:type="paragraph" w:styleId="Heading5">
    <w:name w:val="heading 5"/>
    <w:basedOn w:val="Normal"/>
    <w:next w:val="Normal"/>
    <w:link w:val="Heading5Char"/>
    <w:uiPriority w:val="9"/>
    <w:semiHidden/>
    <w:unhideWhenUsed/>
    <w:qFormat/>
    <w:rsid w:val="00706E0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7BC"/>
    <w:rPr>
      <w:color w:val="0000FF" w:themeColor="hyperlink"/>
      <w:u w:val="single"/>
    </w:rPr>
  </w:style>
  <w:style w:type="paragraph" w:styleId="BodyText">
    <w:name w:val="Body Text"/>
    <w:basedOn w:val="Normal"/>
    <w:link w:val="BodyTextChar"/>
    <w:rsid w:val="00DB67BC"/>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DB67BC"/>
    <w:rPr>
      <w:rFonts w:ascii="ArialMT" w:eastAsia="Times New Roman" w:hAnsi="ArialMT"/>
      <w:color w:val="000000"/>
      <w:sz w:val="22"/>
      <w:szCs w:val="22"/>
      <w:lang w:val="en-US"/>
    </w:rPr>
  </w:style>
  <w:style w:type="paragraph" w:customStyle="1" w:styleId="aBodyText10mmhanging">
    <w:name w:val="(a) Body Text (10mm hanging)"/>
    <w:basedOn w:val="Normal"/>
    <w:rsid w:val="006D4BEF"/>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ind w:left="567" w:hanging="567"/>
      <w:textAlignment w:val="center"/>
    </w:pPr>
    <w:rPr>
      <w:rFonts w:ascii="TimesNewRomanPSMT" w:eastAsia="Times New Roman" w:hAnsi="TimesNewRomanPSMT"/>
      <w:color w:val="000000"/>
      <w:lang w:val="en-US"/>
    </w:rPr>
  </w:style>
  <w:style w:type="paragraph" w:customStyle="1" w:styleId="text">
    <w:name w:val="text"/>
    <w:basedOn w:val="Normal"/>
    <w:qFormat/>
    <w:rsid w:val="00384605"/>
    <w:pPr>
      <w:keepNext/>
      <w:keepLines/>
      <w:autoSpaceDE w:val="0"/>
      <w:autoSpaceDN w:val="0"/>
      <w:adjustRightInd w:val="0"/>
      <w:spacing w:after="60"/>
    </w:pPr>
    <w:rPr>
      <w:rFonts w:eastAsia="Times New Roman" w:cs="Arial"/>
      <w:sz w:val="20"/>
      <w:szCs w:val="20"/>
      <w:lang w:val="en-GB" w:eastAsia="en-NZ"/>
    </w:rPr>
  </w:style>
  <w:style w:type="paragraph" w:styleId="BalloonText">
    <w:name w:val="Balloon Text"/>
    <w:basedOn w:val="Normal"/>
    <w:link w:val="BalloonTextChar"/>
    <w:uiPriority w:val="99"/>
    <w:semiHidden/>
    <w:unhideWhenUsed/>
    <w:rsid w:val="00545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61B"/>
    <w:rPr>
      <w:rFonts w:ascii="Segoe UI" w:hAnsi="Segoe UI" w:cs="Segoe UI"/>
      <w:sz w:val="18"/>
      <w:szCs w:val="18"/>
    </w:rPr>
  </w:style>
  <w:style w:type="paragraph" w:customStyle="1" w:styleId="TextNormal">
    <w:name w:val="*Text Normal"/>
    <w:rsid w:val="00EA78D5"/>
    <w:pPr>
      <w:keepNext/>
      <w:keepLines/>
      <w:suppressAutoHyphens/>
      <w:autoSpaceDE w:val="0"/>
      <w:autoSpaceDN w:val="0"/>
      <w:adjustRightInd w:val="0"/>
      <w:spacing w:before="60" w:after="60" w:line="288" w:lineRule="auto"/>
    </w:pPr>
    <w:rPr>
      <w:rFonts w:ascii="Arial" w:eastAsia="Times New Roman" w:hAnsi="Arial" w:cs="Arial"/>
      <w:bCs/>
      <w:sz w:val="20"/>
      <w:szCs w:val="22"/>
      <w:lang w:val="en-GB" w:eastAsia="en-NZ"/>
    </w:rPr>
  </w:style>
  <w:style w:type="paragraph" w:customStyle="1" w:styleId="TextCentred">
    <w:name w:val="*Text Centred"/>
    <w:rsid w:val="00EA78D5"/>
    <w:pPr>
      <w:spacing w:before="60" w:after="60"/>
      <w:jc w:val="center"/>
    </w:pPr>
    <w:rPr>
      <w:rFonts w:ascii="Arial" w:eastAsia="Times New Roman" w:hAnsi="Arial" w:cs="Arial"/>
      <w:sz w:val="20"/>
      <w:szCs w:val="20"/>
    </w:rPr>
  </w:style>
  <w:style w:type="paragraph" w:customStyle="1" w:styleId="textbullet">
    <w:name w:val="text bullet"/>
    <w:basedOn w:val="Normal"/>
    <w:qFormat/>
    <w:rsid w:val="00945086"/>
    <w:pPr>
      <w:widowControl w:val="0"/>
      <w:numPr>
        <w:numId w:val="2"/>
      </w:numPr>
      <w:autoSpaceDE w:val="0"/>
      <w:autoSpaceDN w:val="0"/>
      <w:spacing w:after="60"/>
      <w:ind w:left="220" w:hanging="220"/>
    </w:pPr>
    <w:rPr>
      <w:rFonts w:eastAsia="Times New Roman"/>
      <w:sz w:val="20"/>
      <w:szCs w:val="20"/>
      <w:lang w:val="en-AU"/>
    </w:rPr>
  </w:style>
  <w:style w:type="paragraph" w:styleId="Header">
    <w:name w:val="header"/>
    <w:aliases w:val="*Header"/>
    <w:basedOn w:val="Normal"/>
    <w:link w:val="HeaderChar"/>
    <w:rsid w:val="00D82550"/>
    <w:pPr>
      <w:tabs>
        <w:tab w:val="center" w:pos="4320"/>
        <w:tab w:val="right" w:pos="8640"/>
      </w:tabs>
    </w:pPr>
    <w:rPr>
      <w:rFonts w:eastAsia="Times New Roman"/>
      <w:lang w:val="x-none" w:eastAsia="x-none"/>
    </w:rPr>
  </w:style>
  <w:style w:type="character" w:customStyle="1" w:styleId="HeaderChar">
    <w:name w:val="Header Char"/>
    <w:aliases w:val="*Header Char"/>
    <w:basedOn w:val="DefaultParagraphFont"/>
    <w:link w:val="Header"/>
    <w:rsid w:val="00D82550"/>
    <w:rPr>
      <w:rFonts w:eastAsia="Times New Roman"/>
      <w:lang w:val="x-none" w:eastAsia="x-none"/>
    </w:rPr>
  </w:style>
  <w:style w:type="paragraph" w:customStyle="1" w:styleId="bullettext">
    <w:name w:val="bullet text"/>
    <w:basedOn w:val="Normal"/>
    <w:qFormat/>
    <w:rsid w:val="00D82550"/>
    <w:pPr>
      <w:numPr>
        <w:numId w:val="7"/>
      </w:numPr>
      <w:spacing w:after="60"/>
    </w:pPr>
    <w:rPr>
      <w:rFonts w:eastAsia="Times New Roman"/>
      <w:color w:val="000000"/>
      <w:sz w:val="20"/>
      <w:szCs w:val="20"/>
      <w:lang w:val="en-US" w:bidi="en-US"/>
    </w:rPr>
  </w:style>
  <w:style w:type="paragraph" w:customStyle="1" w:styleId="bullet">
    <w:name w:val="bullet"/>
    <w:basedOn w:val="Normal"/>
    <w:rsid w:val="00C66D20"/>
    <w:pPr>
      <w:numPr>
        <w:numId w:val="8"/>
      </w:numPr>
    </w:pPr>
    <w:rPr>
      <w:rFonts w:eastAsia="Times New Roman"/>
      <w:sz w:val="20"/>
      <w:lang w:eastAsia="en-GB"/>
    </w:rPr>
  </w:style>
  <w:style w:type="paragraph" w:customStyle="1" w:styleId="BULLETED">
    <w:name w:val="BULLETED"/>
    <w:basedOn w:val="Normal"/>
    <w:rsid w:val="00C66D20"/>
    <w:pPr>
      <w:numPr>
        <w:numId w:val="9"/>
      </w:numPr>
    </w:pPr>
    <w:rPr>
      <w:rFonts w:eastAsia="Times New Roman"/>
      <w:lang w:val="en-GB" w:eastAsia="en-GB"/>
    </w:rPr>
  </w:style>
  <w:style w:type="character" w:customStyle="1" w:styleId="apple-converted-space">
    <w:name w:val="apple-converted-space"/>
    <w:basedOn w:val="DefaultParagraphFont"/>
    <w:rsid w:val="00C66D20"/>
  </w:style>
  <w:style w:type="paragraph" w:customStyle="1" w:styleId="AssSchedhead1">
    <w:name w:val="AssSched head1"/>
    <w:basedOn w:val="Heading5"/>
    <w:rsid w:val="00706E08"/>
    <w:pPr>
      <w:keepLines w:val="0"/>
      <w:autoSpaceDE w:val="0"/>
      <w:autoSpaceDN w:val="0"/>
      <w:adjustRightInd w:val="0"/>
      <w:spacing w:before="0" w:line="360" w:lineRule="auto"/>
    </w:pPr>
    <w:rPr>
      <w:rFonts w:ascii="Arial" w:eastAsia="Times New Roman" w:hAnsi="Arial" w:cs="Arial"/>
      <w:b/>
      <w:bCs/>
      <w:color w:val="auto"/>
      <w:sz w:val="20"/>
      <w:szCs w:val="20"/>
      <w:lang w:val="en-US"/>
    </w:rPr>
  </w:style>
  <w:style w:type="character" w:customStyle="1" w:styleId="Heading5Char">
    <w:name w:val="Heading 5 Char"/>
    <w:basedOn w:val="DefaultParagraphFont"/>
    <w:link w:val="Heading5"/>
    <w:uiPriority w:val="9"/>
    <w:semiHidden/>
    <w:rsid w:val="00706E0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mical-m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McMahon, Michele</cp:lastModifiedBy>
  <cp:revision>4</cp:revision>
  <cp:lastPrinted>2018-06-11T01:32:00Z</cp:lastPrinted>
  <dcterms:created xsi:type="dcterms:W3CDTF">2013-06-24T08:32:00Z</dcterms:created>
  <dcterms:modified xsi:type="dcterms:W3CDTF">2020-04-23T01:14:00Z</dcterms:modified>
</cp:coreProperties>
</file>